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BE6FC" w14:textId="77777777" w:rsidR="00607FC6" w:rsidRPr="00607FC6" w:rsidRDefault="00607FC6" w:rsidP="00607FC6">
      <w:pPr>
        <w:jc w:val="center"/>
        <w:rPr>
          <w:rFonts w:cs="Calibri"/>
          <w:noProof/>
          <w:sz w:val="28"/>
          <w:szCs w:val="28"/>
        </w:rPr>
      </w:pPr>
      <w:r w:rsidRPr="00607FC6">
        <w:rPr>
          <w:rFonts w:ascii="Arial" w:hAnsi="Arial" w:cs="Arial"/>
          <w:noProof/>
          <w:lang w:eastAsia="fr-FR"/>
        </w:rPr>
        <w:drawing>
          <wp:inline distT="0" distB="0" distL="0" distR="0" wp14:anchorId="4B078B1E" wp14:editId="7B70D423">
            <wp:extent cx="4438650" cy="971550"/>
            <wp:effectExtent l="0" t="0" r="0" b="0"/>
            <wp:docPr id="396295836" name="Image 1" descr="Une image contenant texte, Police, blanc,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295836" name="Image 1" descr="Une image contenant texte, Police, blanc, logo&#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8650" cy="971550"/>
                    </a:xfrm>
                    <a:prstGeom prst="rect">
                      <a:avLst/>
                    </a:prstGeom>
                    <a:noFill/>
                    <a:ln>
                      <a:noFill/>
                    </a:ln>
                  </pic:spPr>
                </pic:pic>
              </a:graphicData>
            </a:graphic>
          </wp:inline>
        </w:drawing>
      </w:r>
    </w:p>
    <w:p w14:paraId="2EF92039" w14:textId="77777777" w:rsidR="00607FC6" w:rsidRPr="00607FC6" w:rsidRDefault="00607FC6" w:rsidP="00607FC6">
      <w:pPr>
        <w:jc w:val="center"/>
        <w:rPr>
          <w:rFonts w:ascii="Arial" w:hAnsi="Arial" w:cs="Arial"/>
        </w:rPr>
      </w:pPr>
    </w:p>
    <w:p w14:paraId="4B6112E5" w14:textId="28EA6FCA" w:rsidR="00607FC6" w:rsidRPr="00607FC6" w:rsidRDefault="00607FC6" w:rsidP="00607FC6">
      <w:pPr>
        <w:shd w:val="clear" w:color="auto" w:fill="ADADAD" w:themeFill="background2" w:themeFillShade="BF"/>
        <w:jc w:val="center"/>
        <w:rPr>
          <w:rFonts w:ascii="Arial" w:hAnsi="Arial" w:cs="Arial"/>
          <w:color w:val="FFFFFF" w:themeColor="background1"/>
        </w:rPr>
      </w:pPr>
      <w:r w:rsidRPr="00607FC6">
        <w:rPr>
          <w:rFonts w:ascii="Arial" w:eastAsia="Arial" w:hAnsi="Arial" w:cs="Arial"/>
          <w:b/>
          <w:color w:val="FFFFFF" w:themeColor="background1"/>
          <w:sz w:val="28"/>
        </w:rPr>
        <w:t>CAHIER DES CLAUSES ADMINISTRATIVES PARTICULIÈRES</w:t>
      </w:r>
    </w:p>
    <w:p w14:paraId="53DE1CCC" w14:textId="77777777" w:rsidR="00607FC6" w:rsidRDefault="00607FC6" w:rsidP="00607FC6">
      <w:pPr>
        <w:jc w:val="center"/>
        <w:rPr>
          <w:b/>
          <w:bCs/>
          <w:sz w:val="28"/>
          <w:szCs w:val="28"/>
        </w:rPr>
      </w:pPr>
    </w:p>
    <w:p w14:paraId="661EBE52" w14:textId="0C6B1F51" w:rsidR="00607FC6" w:rsidRPr="00607FC6" w:rsidRDefault="00E213CA" w:rsidP="00607FC6">
      <w:pPr>
        <w:jc w:val="center"/>
        <w:rPr>
          <w:b/>
          <w:bCs/>
          <w:sz w:val="28"/>
          <w:szCs w:val="28"/>
        </w:rPr>
      </w:pPr>
      <w:r>
        <w:rPr>
          <w:b/>
          <w:bCs/>
          <w:sz w:val="28"/>
          <w:szCs w:val="28"/>
        </w:rPr>
        <w:t>MARCHE</w:t>
      </w:r>
      <w:bookmarkStart w:id="0" w:name="_GoBack"/>
      <w:bookmarkEnd w:id="0"/>
      <w:r w:rsidR="00607FC6" w:rsidRPr="00607FC6">
        <w:rPr>
          <w:b/>
          <w:bCs/>
          <w:sz w:val="28"/>
          <w:szCs w:val="28"/>
        </w:rPr>
        <w:t xml:space="preserve"> DE FOURNITURES COURANTES ET DE SERVICES</w:t>
      </w:r>
    </w:p>
    <w:p w14:paraId="4478358B" w14:textId="77777777" w:rsidR="00607FC6" w:rsidRPr="00607FC6" w:rsidRDefault="00607FC6" w:rsidP="00607FC6">
      <w:pPr>
        <w:jc w:val="center"/>
        <w:rPr>
          <w:b/>
          <w:bCs/>
          <w:sz w:val="24"/>
          <w:szCs w:val="24"/>
        </w:rPr>
      </w:pPr>
    </w:p>
    <w:p w14:paraId="52AAE299" w14:textId="77777777" w:rsidR="00607FC6" w:rsidRPr="00607FC6" w:rsidRDefault="00607FC6" w:rsidP="00607FC6">
      <w:pPr>
        <w:jc w:val="center"/>
        <w:rPr>
          <w:b/>
          <w:bCs/>
          <w:sz w:val="24"/>
          <w:szCs w:val="24"/>
        </w:rPr>
      </w:pPr>
    </w:p>
    <w:p w14:paraId="00C3DDE7" w14:textId="77777777" w:rsidR="00607FC6" w:rsidRPr="00607FC6" w:rsidRDefault="00607FC6" w:rsidP="00607FC6">
      <w:pPr>
        <w:jc w:val="center"/>
        <w:rPr>
          <w:b/>
          <w:bCs/>
          <w:sz w:val="24"/>
          <w:szCs w:val="24"/>
        </w:rPr>
      </w:pPr>
    </w:p>
    <w:p w14:paraId="7524A3FB" w14:textId="77777777" w:rsidR="00607FC6" w:rsidRPr="00607FC6" w:rsidRDefault="00607FC6" w:rsidP="00607FC6">
      <w:pPr>
        <w:jc w:val="center"/>
        <w:rPr>
          <w:b/>
          <w:bCs/>
          <w:sz w:val="24"/>
          <w:szCs w:val="24"/>
        </w:rPr>
      </w:pPr>
    </w:p>
    <w:p w14:paraId="19B3D5D0" w14:textId="77777777" w:rsidR="00607FC6" w:rsidRPr="00607FC6" w:rsidRDefault="00607FC6" w:rsidP="00607FC6">
      <w:pPr>
        <w:jc w:val="center"/>
        <w:rPr>
          <w:b/>
          <w:bCs/>
          <w:sz w:val="24"/>
          <w:szCs w:val="24"/>
        </w:rPr>
      </w:pPr>
    </w:p>
    <w:p w14:paraId="231E54B8" w14:textId="77777777" w:rsidR="00607FC6" w:rsidRPr="00607FC6" w:rsidRDefault="00607FC6" w:rsidP="00607FC6">
      <w:pPr>
        <w:jc w:val="center"/>
        <w:rPr>
          <w:b/>
          <w:bCs/>
          <w:sz w:val="24"/>
          <w:szCs w:val="24"/>
        </w:rPr>
      </w:pPr>
    </w:p>
    <w:p w14:paraId="5DA4ED9C" w14:textId="77777777" w:rsidR="00607FC6" w:rsidRPr="00607FC6" w:rsidRDefault="00607FC6" w:rsidP="00607FC6">
      <w:pPr>
        <w:jc w:val="center"/>
        <w:rPr>
          <w:b/>
          <w:bCs/>
          <w:sz w:val="24"/>
          <w:szCs w:val="24"/>
        </w:rPr>
      </w:pPr>
    </w:p>
    <w:p w14:paraId="1B3C608D" w14:textId="77777777" w:rsidR="00607FC6" w:rsidRPr="00607FC6" w:rsidRDefault="00607FC6" w:rsidP="00607FC6">
      <w:pPr>
        <w:jc w:val="center"/>
        <w:rPr>
          <w:b/>
          <w:bCs/>
          <w:sz w:val="24"/>
          <w:szCs w:val="24"/>
        </w:rPr>
      </w:pPr>
    </w:p>
    <w:tbl>
      <w:tblPr>
        <w:tblStyle w:val="Grilledutableau"/>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0"/>
      </w:tblGrid>
      <w:tr w:rsidR="00607FC6" w:rsidRPr="00607FC6" w14:paraId="0B5B5CE6" w14:textId="77777777" w:rsidTr="00E213CA">
        <w:tc>
          <w:tcPr>
            <w:tcW w:w="9750" w:type="dxa"/>
          </w:tcPr>
          <w:p w14:paraId="7650C3C2" w14:textId="77777777" w:rsidR="00607FC6" w:rsidRPr="00607FC6" w:rsidRDefault="00607FC6" w:rsidP="00607FC6">
            <w:pPr>
              <w:jc w:val="center"/>
              <w:rPr>
                <w:b/>
                <w:bCs/>
                <w:sz w:val="28"/>
                <w:szCs w:val="28"/>
              </w:rPr>
            </w:pPr>
          </w:p>
          <w:p w14:paraId="1372CEB5" w14:textId="0D08E74C" w:rsidR="00607FC6" w:rsidRPr="00607FC6" w:rsidRDefault="0072734A" w:rsidP="00607FC6">
            <w:pPr>
              <w:jc w:val="center"/>
              <w:rPr>
                <w:rFonts w:ascii="Arial" w:eastAsia="Arial" w:hAnsi="Arial" w:cs="Arial"/>
                <w:b/>
                <w:color w:val="000000"/>
                <w:sz w:val="28"/>
              </w:rPr>
            </w:pPr>
            <w:bookmarkStart w:id="1" w:name="_Hlk201652861"/>
            <w:r w:rsidRPr="0072734A">
              <w:rPr>
                <w:rFonts w:ascii="Arial" w:eastAsia="Arial" w:hAnsi="Arial" w:cs="Arial"/>
                <w:b/>
                <w:color w:val="000000"/>
                <w:sz w:val="28"/>
              </w:rPr>
              <w:t xml:space="preserve">MARCHE COMPRENANT UN </w:t>
            </w:r>
            <w:r w:rsidR="00607FC6" w:rsidRPr="00607FC6">
              <w:rPr>
                <w:rFonts w:ascii="Arial" w:eastAsia="Arial" w:hAnsi="Arial" w:cs="Arial"/>
                <w:b/>
                <w:color w:val="000000"/>
                <w:sz w:val="28"/>
              </w:rPr>
              <w:t>ACCORD-CADRE A BONS DE COMMANDES DE MAINTENANCE ET EXPLOITATION DES INSTALLATIONS ET DU BATIMENT DE LA BLANCHISSERIE DU GCS</w:t>
            </w:r>
          </w:p>
          <w:p w14:paraId="3670B884" w14:textId="77777777" w:rsidR="00607FC6" w:rsidRPr="00607FC6" w:rsidRDefault="00607FC6" w:rsidP="00607FC6">
            <w:pPr>
              <w:jc w:val="center"/>
              <w:rPr>
                <w:rFonts w:ascii="Arial" w:eastAsia="Arial" w:hAnsi="Arial" w:cs="Arial"/>
                <w:b/>
                <w:color w:val="000000"/>
                <w:sz w:val="28"/>
              </w:rPr>
            </w:pPr>
            <w:r w:rsidRPr="00607FC6">
              <w:rPr>
                <w:rFonts w:ascii="Arial" w:eastAsia="Arial" w:hAnsi="Arial" w:cs="Arial"/>
                <w:b/>
                <w:color w:val="000000"/>
                <w:sz w:val="28"/>
              </w:rPr>
              <w:t xml:space="preserve"> « BLANCHISSERIE INTER HOSPITALIERE DU TERRITOIRE DU GRAND CLERMONT »</w:t>
            </w:r>
            <w:bookmarkEnd w:id="1"/>
          </w:p>
          <w:p w14:paraId="1D6373BA" w14:textId="77777777" w:rsidR="00607FC6" w:rsidRPr="00607FC6" w:rsidRDefault="00607FC6" w:rsidP="00607FC6">
            <w:pPr>
              <w:jc w:val="center"/>
              <w:rPr>
                <w:b/>
                <w:bCs/>
                <w:sz w:val="28"/>
                <w:szCs w:val="28"/>
              </w:rPr>
            </w:pPr>
          </w:p>
        </w:tc>
      </w:tr>
    </w:tbl>
    <w:p w14:paraId="7184C06D" w14:textId="6B0C7945" w:rsidR="00927B25" w:rsidRDefault="00927B25" w:rsidP="000D20AF"/>
    <w:p w14:paraId="226CB093" w14:textId="77777777" w:rsidR="00607FC6" w:rsidRDefault="00607FC6" w:rsidP="000D20AF"/>
    <w:p w14:paraId="0ED59BF4" w14:textId="77777777" w:rsidR="00607FC6" w:rsidRDefault="00607FC6" w:rsidP="000D20AF"/>
    <w:p w14:paraId="4AECAF4B" w14:textId="77777777" w:rsidR="00607FC6" w:rsidRDefault="00607FC6" w:rsidP="000D20AF"/>
    <w:p w14:paraId="28E9982A" w14:textId="77777777" w:rsidR="00607FC6" w:rsidRDefault="00607FC6" w:rsidP="000D20AF"/>
    <w:p w14:paraId="43BEE9CA" w14:textId="77777777" w:rsidR="00607FC6" w:rsidRPr="00DD2EB0" w:rsidRDefault="00607FC6" w:rsidP="000D20AF"/>
    <w:p w14:paraId="183EA5D5" w14:textId="77777777" w:rsidR="00DD2EB0" w:rsidRPr="00DD2EB0" w:rsidRDefault="00DD2EB0" w:rsidP="00DD2EB0">
      <w:pPr>
        <w:pStyle w:val="Sansinterligne"/>
        <w:jc w:val="center"/>
        <w:rPr>
          <w:rFonts w:cs="Calibri"/>
          <w:sz w:val="28"/>
          <w:szCs w:val="28"/>
          <w:lang w:val="fr-FR"/>
        </w:rPr>
      </w:pPr>
    </w:p>
    <w:p w14:paraId="7184C072" w14:textId="062E88D7" w:rsidR="00927B25" w:rsidRPr="00DD2EB0" w:rsidRDefault="0077598A" w:rsidP="00DD2EB0">
      <w:pPr>
        <w:pStyle w:val="Sansinterligne"/>
        <w:jc w:val="center"/>
        <w:rPr>
          <w:rFonts w:cs="Calibri"/>
          <w:spacing w:val="-4"/>
          <w:sz w:val="28"/>
          <w:szCs w:val="28"/>
          <w:lang w:val="fr-FR"/>
        </w:rPr>
      </w:pPr>
      <w:r w:rsidRPr="00DD2EB0">
        <w:rPr>
          <w:rFonts w:cs="Calibri"/>
          <w:spacing w:val="-4"/>
          <w:sz w:val="28"/>
          <w:szCs w:val="28"/>
          <w:lang w:val="fr-FR"/>
        </w:rPr>
        <w:t xml:space="preserve">REFERENCE DE LA CONSULTATION : </w:t>
      </w:r>
      <w:r w:rsidR="007367B7">
        <w:rPr>
          <w:rFonts w:cs="Calibri"/>
          <w:b/>
          <w:bCs/>
          <w:spacing w:val="-4"/>
          <w:sz w:val="28"/>
          <w:szCs w:val="28"/>
          <w:lang w:val="fr-FR"/>
        </w:rPr>
        <w:t>25</w:t>
      </w:r>
      <w:r w:rsidR="008D4D14">
        <w:rPr>
          <w:rFonts w:cs="Calibri"/>
          <w:b/>
          <w:bCs/>
          <w:spacing w:val="-4"/>
          <w:sz w:val="28"/>
          <w:szCs w:val="28"/>
          <w:lang w:val="fr-FR"/>
        </w:rPr>
        <w:t>-GHTA-0067</w:t>
      </w:r>
    </w:p>
    <w:p w14:paraId="435627FC" w14:textId="77777777" w:rsidR="00DD2EB0" w:rsidRPr="00DD2EB0" w:rsidRDefault="00DD2EB0" w:rsidP="00DD2EB0">
      <w:pPr>
        <w:pStyle w:val="Sansinterligne"/>
        <w:rPr>
          <w:rFonts w:cs="Calibri"/>
          <w:spacing w:val="-4"/>
          <w:sz w:val="28"/>
          <w:szCs w:val="28"/>
          <w:lang w:val="fr-FR"/>
        </w:rPr>
      </w:pPr>
    </w:p>
    <w:p w14:paraId="3B43E34F" w14:textId="77777777" w:rsidR="00607FC6" w:rsidRPr="00607FC6" w:rsidRDefault="00607FC6" w:rsidP="00607FC6">
      <w:pPr>
        <w:rPr>
          <w:w w:val="95"/>
        </w:rPr>
      </w:pPr>
    </w:p>
    <w:p w14:paraId="36741B1A" w14:textId="77777777" w:rsidR="00607FC6" w:rsidRPr="00607FC6" w:rsidRDefault="00607FC6" w:rsidP="00607FC6">
      <w:pPr>
        <w:rPr>
          <w:w w:val="95"/>
        </w:rPr>
      </w:pPr>
      <w:r w:rsidRPr="00607FC6">
        <w:rPr>
          <w:w w:val="95"/>
        </w:rPr>
        <w:t>Groupement Hospitalier des Territoires d'Auvergne</w:t>
      </w:r>
    </w:p>
    <w:p w14:paraId="1F408046" w14:textId="77777777" w:rsidR="00607FC6" w:rsidRPr="00607FC6" w:rsidRDefault="00607FC6" w:rsidP="00607FC6">
      <w:pPr>
        <w:rPr>
          <w:w w:val="95"/>
        </w:rPr>
      </w:pPr>
      <w:r w:rsidRPr="00607FC6">
        <w:rPr>
          <w:w w:val="95"/>
        </w:rPr>
        <w:t xml:space="preserve">Etablissement support CHU de Clermont-Ferrand </w:t>
      </w:r>
    </w:p>
    <w:p w14:paraId="0885D061" w14:textId="77777777" w:rsidR="00607FC6" w:rsidRPr="00607FC6" w:rsidRDefault="00607FC6" w:rsidP="00607FC6">
      <w:pPr>
        <w:rPr>
          <w:w w:val="95"/>
        </w:rPr>
      </w:pPr>
      <w:r w:rsidRPr="00607FC6">
        <w:rPr>
          <w:w w:val="95"/>
        </w:rPr>
        <w:t>58 Rue Montalembert</w:t>
      </w:r>
    </w:p>
    <w:p w14:paraId="5F62B26F" w14:textId="1097CFA4" w:rsidR="00783399" w:rsidRPr="00DD2EB0" w:rsidRDefault="00607FC6" w:rsidP="00607FC6">
      <w:pPr>
        <w:rPr>
          <w:w w:val="95"/>
        </w:rPr>
      </w:pPr>
      <w:r w:rsidRPr="00607FC6">
        <w:rPr>
          <w:w w:val="95"/>
        </w:rPr>
        <w:t>63003 CLERMONT-FERRAND</w:t>
      </w:r>
    </w:p>
    <w:p w14:paraId="004C6C9D" w14:textId="29F0DA07" w:rsidR="00783399" w:rsidRPr="00783399" w:rsidRDefault="0077598A" w:rsidP="000D20AF">
      <w:r w:rsidRPr="00DD2EB0">
        <w:t xml:space="preserve">Centre Hospitalier Universitaire </w:t>
      </w:r>
      <w:r w:rsidR="00783399">
        <w:t xml:space="preserve">de </w:t>
      </w:r>
      <w:r w:rsidR="00783399" w:rsidRPr="00783399">
        <w:t>Clermont</w:t>
      </w:r>
      <w:r w:rsidR="00783399">
        <w:t xml:space="preserve"> </w:t>
      </w:r>
      <w:r w:rsidR="00783399" w:rsidRPr="00783399">
        <w:t>- Ferrand</w:t>
      </w:r>
    </w:p>
    <w:p w14:paraId="5D2459E8" w14:textId="0EEF68E1" w:rsidR="00927B25" w:rsidRPr="00DD2EB0" w:rsidRDefault="00927B25" w:rsidP="000D20AF"/>
    <w:p w14:paraId="7184C078" w14:textId="2B05751C" w:rsidR="00DD2EB0" w:rsidRPr="00DD2EB0" w:rsidRDefault="00DD2EB0" w:rsidP="000D20AF"/>
    <w:p w14:paraId="1AE7CEB9" w14:textId="77777777" w:rsidR="002C6B7A" w:rsidRPr="00DD2EB0" w:rsidRDefault="002C6B7A" w:rsidP="000D20AF">
      <w:pPr>
        <w:sectPr w:rsidR="002C6B7A" w:rsidRPr="00DD2EB0">
          <w:footerReference w:type="default" r:id="rId9"/>
          <w:pgSz w:w="11909" w:h="16838"/>
          <w:pgMar w:top="1340" w:right="957" w:bottom="2455" w:left="1152" w:header="720" w:footer="720" w:gutter="0"/>
          <w:cols w:space="720"/>
        </w:sectPr>
      </w:pPr>
    </w:p>
    <w:p w14:paraId="55C7C331" w14:textId="796D796F" w:rsidR="00C04933" w:rsidRDefault="00C04933">
      <w:pPr>
        <w:jc w:val="left"/>
      </w:pPr>
      <w:r>
        <w:br w:type="page"/>
      </w:r>
    </w:p>
    <w:p w14:paraId="4BCF6110" w14:textId="77777777" w:rsidR="00B473C4" w:rsidRPr="00142AE5" w:rsidRDefault="00B473C4" w:rsidP="00B473C4">
      <w:pPr>
        <w:jc w:val="center"/>
        <w:rPr>
          <w:b/>
          <w:bCs/>
          <w:sz w:val="36"/>
          <w:szCs w:val="36"/>
          <w:u w:val="single"/>
        </w:rPr>
      </w:pPr>
      <w:r w:rsidRPr="00142AE5">
        <w:rPr>
          <w:b/>
          <w:bCs/>
          <w:sz w:val="36"/>
          <w:szCs w:val="36"/>
          <w:u w:val="single"/>
        </w:rPr>
        <w:lastRenderedPageBreak/>
        <w:t>Sommaire</w:t>
      </w:r>
    </w:p>
    <w:p w14:paraId="4301DE28" w14:textId="77777777" w:rsidR="00C04933" w:rsidRDefault="00C04933">
      <w:pPr>
        <w:jc w:val="left"/>
      </w:pPr>
    </w:p>
    <w:p w14:paraId="1A9AEDE8" w14:textId="60828FDF" w:rsidR="00B473C4" w:rsidRDefault="00B473C4">
      <w:pPr>
        <w:pStyle w:val="TM1"/>
        <w:tabs>
          <w:tab w:val="right" w:pos="9790"/>
        </w:tabs>
        <w:rPr>
          <w:rFonts w:eastAsiaTheme="minorEastAsia" w:cstheme="minorBidi"/>
          <w:b w:val="0"/>
          <w:bCs w:val="0"/>
          <w:caps w:val="0"/>
          <w:noProof/>
          <w:kern w:val="2"/>
          <w:sz w:val="24"/>
          <w:szCs w:val="24"/>
          <w:u w:val="none"/>
          <w:lang w:eastAsia="zh-CN"/>
          <w14:ligatures w14:val="standardContextual"/>
        </w:rPr>
      </w:pPr>
      <w:r>
        <w:rPr>
          <w:rFonts w:ascii="Segoe UI" w:eastAsiaTheme="majorEastAsia" w:hAnsi="Segoe UI" w:cs="Segoe UI"/>
          <w:b w:val="0"/>
          <w:bCs w:val="0"/>
          <w:sz w:val="28"/>
          <w:szCs w:val="28"/>
        </w:rPr>
        <w:fldChar w:fldCharType="begin"/>
      </w:r>
      <w:r>
        <w:rPr>
          <w:rFonts w:ascii="Segoe UI" w:eastAsiaTheme="majorEastAsia" w:hAnsi="Segoe UI" w:cs="Segoe UI"/>
          <w:b w:val="0"/>
          <w:bCs w:val="0"/>
          <w:sz w:val="28"/>
          <w:szCs w:val="28"/>
        </w:rPr>
        <w:instrText xml:space="preserve"> TOC \o "1-3" \h \z \u </w:instrText>
      </w:r>
      <w:r>
        <w:rPr>
          <w:rFonts w:ascii="Segoe UI" w:eastAsiaTheme="majorEastAsia" w:hAnsi="Segoe UI" w:cs="Segoe UI"/>
          <w:b w:val="0"/>
          <w:bCs w:val="0"/>
          <w:sz w:val="28"/>
          <w:szCs w:val="28"/>
        </w:rPr>
        <w:fldChar w:fldCharType="separate"/>
      </w:r>
      <w:hyperlink w:anchor="_Toc201735410" w:history="1">
        <w:r w:rsidRPr="004A6829">
          <w:rPr>
            <w:rStyle w:val="Lienhypertexte"/>
            <w:noProof/>
          </w:rPr>
          <w:t>1 - Préambule, présentation</w:t>
        </w:r>
        <w:r>
          <w:rPr>
            <w:noProof/>
            <w:webHidden/>
          </w:rPr>
          <w:tab/>
        </w:r>
        <w:r>
          <w:rPr>
            <w:noProof/>
            <w:webHidden/>
          </w:rPr>
          <w:fldChar w:fldCharType="begin"/>
        </w:r>
        <w:r>
          <w:rPr>
            <w:noProof/>
            <w:webHidden/>
          </w:rPr>
          <w:instrText xml:space="preserve"> PAGEREF _Toc201735410 \h </w:instrText>
        </w:r>
        <w:r>
          <w:rPr>
            <w:noProof/>
            <w:webHidden/>
          </w:rPr>
        </w:r>
        <w:r>
          <w:rPr>
            <w:noProof/>
            <w:webHidden/>
          </w:rPr>
          <w:fldChar w:fldCharType="separate"/>
        </w:r>
        <w:r>
          <w:rPr>
            <w:noProof/>
            <w:webHidden/>
          </w:rPr>
          <w:t>4</w:t>
        </w:r>
        <w:r>
          <w:rPr>
            <w:noProof/>
            <w:webHidden/>
          </w:rPr>
          <w:fldChar w:fldCharType="end"/>
        </w:r>
      </w:hyperlink>
    </w:p>
    <w:p w14:paraId="44A5AA02" w14:textId="01E7CC23"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11" w:history="1">
        <w:r w:rsidR="00B473C4" w:rsidRPr="004A6829">
          <w:rPr>
            <w:rStyle w:val="Lienhypertexte"/>
            <w:noProof/>
          </w:rPr>
          <w:t>2 - Dispositions générales du contrat</w:t>
        </w:r>
        <w:r w:rsidR="00B473C4">
          <w:rPr>
            <w:noProof/>
            <w:webHidden/>
          </w:rPr>
          <w:tab/>
        </w:r>
        <w:r w:rsidR="00B473C4">
          <w:rPr>
            <w:noProof/>
            <w:webHidden/>
          </w:rPr>
          <w:fldChar w:fldCharType="begin"/>
        </w:r>
        <w:r w:rsidR="00B473C4">
          <w:rPr>
            <w:noProof/>
            <w:webHidden/>
          </w:rPr>
          <w:instrText xml:space="preserve"> PAGEREF _Toc201735411 \h </w:instrText>
        </w:r>
        <w:r w:rsidR="00B473C4">
          <w:rPr>
            <w:noProof/>
            <w:webHidden/>
          </w:rPr>
        </w:r>
        <w:r w:rsidR="00B473C4">
          <w:rPr>
            <w:noProof/>
            <w:webHidden/>
          </w:rPr>
          <w:fldChar w:fldCharType="separate"/>
        </w:r>
        <w:r w:rsidR="00B473C4">
          <w:rPr>
            <w:noProof/>
            <w:webHidden/>
          </w:rPr>
          <w:t>4</w:t>
        </w:r>
        <w:r w:rsidR="00B473C4">
          <w:rPr>
            <w:noProof/>
            <w:webHidden/>
          </w:rPr>
          <w:fldChar w:fldCharType="end"/>
        </w:r>
      </w:hyperlink>
    </w:p>
    <w:p w14:paraId="2277E891" w14:textId="473BF7B1"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12" w:history="1">
        <w:r w:rsidR="00B473C4" w:rsidRPr="004A6829">
          <w:rPr>
            <w:rStyle w:val="Lienhypertexte"/>
            <w:noProof/>
          </w:rPr>
          <w:t>2.1 Objet du contrat</w:t>
        </w:r>
        <w:r w:rsidR="00B473C4">
          <w:rPr>
            <w:noProof/>
            <w:webHidden/>
          </w:rPr>
          <w:tab/>
        </w:r>
        <w:r w:rsidR="00B473C4">
          <w:rPr>
            <w:noProof/>
            <w:webHidden/>
          </w:rPr>
          <w:fldChar w:fldCharType="begin"/>
        </w:r>
        <w:r w:rsidR="00B473C4">
          <w:rPr>
            <w:noProof/>
            <w:webHidden/>
          </w:rPr>
          <w:instrText xml:space="preserve"> PAGEREF _Toc201735412 \h </w:instrText>
        </w:r>
        <w:r w:rsidR="00B473C4">
          <w:rPr>
            <w:noProof/>
            <w:webHidden/>
          </w:rPr>
        </w:r>
        <w:r w:rsidR="00B473C4">
          <w:rPr>
            <w:noProof/>
            <w:webHidden/>
          </w:rPr>
          <w:fldChar w:fldCharType="separate"/>
        </w:r>
        <w:r w:rsidR="00B473C4">
          <w:rPr>
            <w:noProof/>
            <w:webHidden/>
          </w:rPr>
          <w:t>4</w:t>
        </w:r>
        <w:r w:rsidR="00B473C4">
          <w:rPr>
            <w:noProof/>
            <w:webHidden/>
          </w:rPr>
          <w:fldChar w:fldCharType="end"/>
        </w:r>
      </w:hyperlink>
    </w:p>
    <w:p w14:paraId="6D21D458" w14:textId="146BEDD4"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13" w:history="1">
        <w:r w:rsidR="00B473C4" w:rsidRPr="004A6829">
          <w:rPr>
            <w:rStyle w:val="Lienhypertexte"/>
            <w:noProof/>
          </w:rPr>
          <w:t>2.2 Décomposition du contrat</w:t>
        </w:r>
        <w:r w:rsidR="00B473C4">
          <w:rPr>
            <w:noProof/>
            <w:webHidden/>
          </w:rPr>
          <w:tab/>
        </w:r>
        <w:r w:rsidR="00B473C4">
          <w:rPr>
            <w:noProof/>
            <w:webHidden/>
          </w:rPr>
          <w:fldChar w:fldCharType="begin"/>
        </w:r>
        <w:r w:rsidR="00B473C4">
          <w:rPr>
            <w:noProof/>
            <w:webHidden/>
          </w:rPr>
          <w:instrText xml:space="preserve"> PAGEREF _Toc201735413 \h </w:instrText>
        </w:r>
        <w:r w:rsidR="00B473C4">
          <w:rPr>
            <w:noProof/>
            <w:webHidden/>
          </w:rPr>
        </w:r>
        <w:r w:rsidR="00B473C4">
          <w:rPr>
            <w:noProof/>
            <w:webHidden/>
          </w:rPr>
          <w:fldChar w:fldCharType="separate"/>
        </w:r>
        <w:r w:rsidR="00B473C4">
          <w:rPr>
            <w:noProof/>
            <w:webHidden/>
          </w:rPr>
          <w:t>4</w:t>
        </w:r>
        <w:r w:rsidR="00B473C4">
          <w:rPr>
            <w:noProof/>
            <w:webHidden/>
          </w:rPr>
          <w:fldChar w:fldCharType="end"/>
        </w:r>
      </w:hyperlink>
    </w:p>
    <w:p w14:paraId="45DC33B9" w14:textId="33A7EE33"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14" w:history="1">
        <w:r w:rsidR="00B473C4" w:rsidRPr="004A6829">
          <w:rPr>
            <w:rStyle w:val="Lienhypertexte"/>
            <w:noProof/>
          </w:rPr>
          <w:t>3 - Conditions d'exécution des prestations</w:t>
        </w:r>
        <w:r w:rsidR="00B473C4">
          <w:rPr>
            <w:noProof/>
            <w:webHidden/>
          </w:rPr>
          <w:tab/>
        </w:r>
        <w:r w:rsidR="00B473C4">
          <w:rPr>
            <w:noProof/>
            <w:webHidden/>
          </w:rPr>
          <w:fldChar w:fldCharType="begin"/>
        </w:r>
        <w:r w:rsidR="00B473C4">
          <w:rPr>
            <w:noProof/>
            <w:webHidden/>
          </w:rPr>
          <w:instrText xml:space="preserve"> PAGEREF _Toc201735414 \h </w:instrText>
        </w:r>
        <w:r w:rsidR="00B473C4">
          <w:rPr>
            <w:noProof/>
            <w:webHidden/>
          </w:rPr>
        </w:r>
        <w:r w:rsidR="00B473C4">
          <w:rPr>
            <w:noProof/>
            <w:webHidden/>
          </w:rPr>
          <w:fldChar w:fldCharType="separate"/>
        </w:r>
        <w:r w:rsidR="00B473C4">
          <w:rPr>
            <w:noProof/>
            <w:webHidden/>
          </w:rPr>
          <w:t>4</w:t>
        </w:r>
        <w:r w:rsidR="00B473C4">
          <w:rPr>
            <w:noProof/>
            <w:webHidden/>
          </w:rPr>
          <w:fldChar w:fldCharType="end"/>
        </w:r>
      </w:hyperlink>
    </w:p>
    <w:p w14:paraId="2BB90E82" w14:textId="50818894"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15" w:history="1">
        <w:r w:rsidR="00B473C4" w:rsidRPr="004A6829">
          <w:rPr>
            <w:rStyle w:val="Lienhypertexte"/>
            <w:noProof/>
          </w:rPr>
          <w:t>4 - Forme du marché public</w:t>
        </w:r>
        <w:r w:rsidR="00B473C4">
          <w:rPr>
            <w:noProof/>
            <w:webHidden/>
          </w:rPr>
          <w:tab/>
        </w:r>
        <w:r w:rsidR="00B473C4">
          <w:rPr>
            <w:noProof/>
            <w:webHidden/>
          </w:rPr>
          <w:fldChar w:fldCharType="begin"/>
        </w:r>
        <w:r w:rsidR="00B473C4">
          <w:rPr>
            <w:noProof/>
            <w:webHidden/>
          </w:rPr>
          <w:instrText xml:space="preserve"> PAGEREF _Toc201735415 \h </w:instrText>
        </w:r>
        <w:r w:rsidR="00B473C4">
          <w:rPr>
            <w:noProof/>
            <w:webHidden/>
          </w:rPr>
        </w:r>
        <w:r w:rsidR="00B473C4">
          <w:rPr>
            <w:noProof/>
            <w:webHidden/>
          </w:rPr>
          <w:fldChar w:fldCharType="separate"/>
        </w:r>
        <w:r w:rsidR="00B473C4">
          <w:rPr>
            <w:noProof/>
            <w:webHidden/>
          </w:rPr>
          <w:t>4</w:t>
        </w:r>
        <w:r w:rsidR="00B473C4">
          <w:rPr>
            <w:noProof/>
            <w:webHidden/>
          </w:rPr>
          <w:fldChar w:fldCharType="end"/>
        </w:r>
      </w:hyperlink>
    </w:p>
    <w:p w14:paraId="756E63F2" w14:textId="6818A70E"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16" w:history="1">
        <w:r w:rsidR="00B473C4" w:rsidRPr="004A6829">
          <w:rPr>
            <w:rStyle w:val="Lienhypertexte"/>
            <w:noProof/>
          </w:rPr>
          <w:t>5 - Documents contractuels</w:t>
        </w:r>
        <w:r w:rsidR="00B473C4">
          <w:rPr>
            <w:noProof/>
            <w:webHidden/>
          </w:rPr>
          <w:tab/>
        </w:r>
        <w:r w:rsidR="00B473C4">
          <w:rPr>
            <w:noProof/>
            <w:webHidden/>
          </w:rPr>
          <w:fldChar w:fldCharType="begin"/>
        </w:r>
        <w:r w:rsidR="00B473C4">
          <w:rPr>
            <w:noProof/>
            <w:webHidden/>
          </w:rPr>
          <w:instrText xml:space="preserve"> PAGEREF _Toc201735416 \h </w:instrText>
        </w:r>
        <w:r w:rsidR="00B473C4">
          <w:rPr>
            <w:noProof/>
            <w:webHidden/>
          </w:rPr>
        </w:r>
        <w:r w:rsidR="00B473C4">
          <w:rPr>
            <w:noProof/>
            <w:webHidden/>
          </w:rPr>
          <w:fldChar w:fldCharType="separate"/>
        </w:r>
        <w:r w:rsidR="00B473C4">
          <w:rPr>
            <w:noProof/>
            <w:webHidden/>
          </w:rPr>
          <w:t>5</w:t>
        </w:r>
        <w:r w:rsidR="00B473C4">
          <w:rPr>
            <w:noProof/>
            <w:webHidden/>
          </w:rPr>
          <w:fldChar w:fldCharType="end"/>
        </w:r>
      </w:hyperlink>
    </w:p>
    <w:p w14:paraId="26FD2923" w14:textId="677F6456"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17" w:history="1">
        <w:r w:rsidR="00B473C4" w:rsidRPr="004A6829">
          <w:rPr>
            <w:rStyle w:val="Lienhypertexte"/>
            <w:noProof/>
          </w:rPr>
          <w:t>6 - Engagement du titulaire</w:t>
        </w:r>
        <w:r w:rsidR="00B473C4">
          <w:rPr>
            <w:noProof/>
            <w:webHidden/>
          </w:rPr>
          <w:tab/>
        </w:r>
        <w:r w:rsidR="00B473C4">
          <w:rPr>
            <w:noProof/>
            <w:webHidden/>
          </w:rPr>
          <w:fldChar w:fldCharType="begin"/>
        </w:r>
        <w:r w:rsidR="00B473C4">
          <w:rPr>
            <w:noProof/>
            <w:webHidden/>
          </w:rPr>
          <w:instrText xml:space="preserve"> PAGEREF _Toc201735417 \h </w:instrText>
        </w:r>
        <w:r w:rsidR="00B473C4">
          <w:rPr>
            <w:noProof/>
            <w:webHidden/>
          </w:rPr>
        </w:r>
        <w:r w:rsidR="00B473C4">
          <w:rPr>
            <w:noProof/>
            <w:webHidden/>
          </w:rPr>
          <w:fldChar w:fldCharType="separate"/>
        </w:r>
        <w:r w:rsidR="00B473C4">
          <w:rPr>
            <w:noProof/>
            <w:webHidden/>
          </w:rPr>
          <w:t>5</w:t>
        </w:r>
        <w:r w:rsidR="00B473C4">
          <w:rPr>
            <w:noProof/>
            <w:webHidden/>
          </w:rPr>
          <w:fldChar w:fldCharType="end"/>
        </w:r>
      </w:hyperlink>
    </w:p>
    <w:p w14:paraId="591FDEAF" w14:textId="207EEF32"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18" w:history="1">
        <w:r w:rsidR="00B473C4" w:rsidRPr="004A6829">
          <w:rPr>
            <w:rStyle w:val="Lienhypertexte"/>
            <w:noProof/>
          </w:rPr>
          <w:t>7 - Durée et délais d'exécution</w:t>
        </w:r>
        <w:r w:rsidR="00B473C4">
          <w:rPr>
            <w:noProof/>
            <w:webHidden/>
          </w:rPr>
          <w:tab/>
        </w:r>
        <w:r w:rsidR="00B473C4">
          <w:rPr>
            <w:noProof/>
            <w:webHidden/>
          </w:rPr>
          <w:fldChar w:fldCharType="begin"/>
        </w:r>
        <w:r w:rsidR="00B473C4">
          <w:rPr>
            <w:noProof/>
            <w:webHidden/>
          </w:rPr>
          <w:instrText xml:space="preserve"> PAGEREF _Toc201735418 \h </w:instrText>
        </w:r>
        <w:r w:rsidR="00B473C4">
          <w:rPr>
            <w:noProof/>
            <w:webHidden/>
          </w:rPr>
        </w:r>
        <w:r w:rsidR="00B473C4">
          <w:rPr>
            <w:noProof/>
            <w:webHidden/>
          </w:rPr>
          <w:fldChar w:fldCharType="separate"/>
        </w:r>
        <w:r w:rsidR="00B473C4">
          <w:rPr>
            <w:noProof/>
            <w:webHidden/>
          </w:rPr>
          <w:t>5</w:t>
        </w:r>
        <w:r w:rsidR="00B473C4">
          <w:rPr>
            <w:noProof/>
            <w:webHidden/>
          </w:rPr>
          <w:fldChar w:fldCharType="end"/>
        </w:r>
      </w:hyperlink>
    </w:p>
    <w:p w14:paraId="36AEB78A" w14:textId="12287FC0"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19" w:history="1">
        <w:r w:rsidR="00B473C4" w:rsidRPr="004A6829">
          <w:rPr>
            <w:rStyle w:val="Lienhypertexte"/>
            <w:noProof/>
          </w:rPr>
          <w:t>7.1 Durée du contrat</w:t>
        </w:r>
        <w:r w:rsidR="00B473C4">
          <w:rPr>
            <w:noProof/>
            <w:webHidden/>
          </w:rPr>
          <w:tab/>
        </w:r>
        <w:r w:rsidR="00B473C4">
          <w:rPr>
            <w:noProof/>
            <w:webHidden/>
          </w:rPr>
          <w:fldChar w:fldCharType="begin"/>
        </w:r>
        <w:r w:rsidR="00B473C4">
          <w:rPr>
            <w:noProof/>
            <w:webHidden/>
          </w:rPr>
          <w:instrText xml:space="preserve"> PAGEREF _Toc201735419 \h </w:instrText>
        </w:r>
        <w:r w:rsidR="00B473C4">
          <w:rPr>
            <w:noProof/>
            <w:webHidden/>
          </w:rPr>
        </w:r>
        <w:r w:rsidR="00B473C4">
          <w:rPr>
            <w:noProof/>
            <w:webHidden/>
          </w:rPr>
          <w:fldChar w:fldCharType="separate"/>
        </w:r>
        <w:r w:rsidR="00B473C4">
          <w:rPr>
            <w:noProof/>
            <w:webHidden/>
          </w:rPr>
          <w:t>5</w:t>
        </w:r>
        <w:r w:rsidR="00B473C4">
          <w:rPr>
            <w:noProof/>
            <w:webHidden/>
          </w:rPr>
          <w:fldChar w:fldCharType="end"/>
        </w:r>
      </w:hyperlink>
    </w:p>
    <w:p w14:paraId="67C40C69" w14:textId="38AB1FB9"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20" w:history="1">
        <w:r w:rsidR="00B473C4" w:rsidRPr="004A6829">
          <w:rPr>
            <w:rStyle w:val="Lienhypertexte"/>
            <w:noProof/>
          </w:rPr>
          <w:t>7.2 Phase de transition du marché en cas de changement de titulaire</w:t>
        </w:r>
        <w:r w:rsidR="00B473C4">
          <w:rPr>
            <w:noProof/>
            <w:webHidden/>
          </w:rPr>
          <w:tab/>
        </w:r>
        <w:r w:rsidR="00B473C4">
          <w:rPr>
            <w:noProof/>
            <w:webHidden/>
          </w:rPr>
          <w:fldChar w:fldCharType="begin"/>
        </w:r>
        <w:r w:rsidR="00B473C4">
          <w:rPr>
            <w:noProof/>
            <w:webHidden/>
          </w:rPr>
          <w:instrText xml:space="preserve"> PAGEREF _Toc201735420 \h </w:instrText>
        </w:r>
        <w:r w:rsidR="00B473C4">
          <w:rPr>
            <w:noProof/>
            <w:webHidden/>
          </w:rPr>
        </w:r>
        <w:r w:rsidR="00B473C4">
          <w:rPr>
            <w:noProof/>
            <w:webHidden/>
          </w:rPr>
          <w:fldChar w:fldCharType="separate"/>
        </w:r>
        <w:r w:rsidR="00B473C4">
          <w:rPr>
            <w:noProof/>
            <w:webHidden/>
          </w:rPr>
          <w:t>6</w:t>
        </w:r>
        <w:r w:rsidR="00B473C4">
          <w:rPr>
            <w:noProof/>
            <w:webHidden/>
          </w:rPr>
          <w:fldChar w:fldCharType="end"/>
        </w:r>
      </w:hyperlink>
    </w:p>
    <w:p w14:paraId="671D0BD5" w14:textId="276B97CD"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21" w:history="1">
        <w:r w:rsidR="00B473C4" w:rsidRPr="004A6829">
          <w:rPr>
            <w:rStyle w:val="Lienhypertexte"/>
            <w:noProof/>
          </w:rPr>
          <w:t>8 - Prix</w:t>
        </w:r>
        <w:r w:rsidR="00B473C4">
          <w:rPr>
            <w:noProof/>
            <w:webHidden/>
          </w:rPr>
          <w:tab/>
        </w:r>
        <w:r w:rsidR="00B473C4">
          <w:rPr>
            <w:noProof/>
            <w:webHidden/>
          </w:rPr>
          <w:fldChar w:fldCharType="begin"/>
        </w:r>
        <w:r w:rsidR="00B473C4">
          <w:rPr>
            <w:noProof/>
            <w:webHidden/>
          </w:rPr>
          <w:instrText xml:space="preserve"> PAGEREF _Toc201735421 \h </w:instrText>
        </w:r>
        <w:r w:rsidR="00B473C4">
          <w:rPr>
            <w:noProof/>
            <w:webHidden/>
          </w:rPr>
        </w:r>
        <w:r w:rsidR="00B473C4">
          <w:rPr>
            <w:noProof/>
            <w:webHidden/>
          </w:rPr>
          <w:fldChar w:fldCharType="separate"/>
        </w:r>
        <w:r w:rsidR="00B473C4">
          <w:rPr>
            <w:noProof/>
            <w:webHidden/>
          </w:rPr>
          <w:t>6</w:t>
        </w:r>
        <w:r w:rsidR="00B473C4">
          <w:rPr>
            <w:noProof/>
            <w:webHidden/>
          </w:rPr>
          <w:fldChar w:fldCharType="end"/>
        </w:r>
      </w:hyperlink>
    </w:p>
    <w:p w14:paraId="605BD59A" w14:textId="54801CFC"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22" w:history="1">
        <w:r w:rsidR="00B473C4" w:rsidRPr="004A6829">
          <w:rPr>
            <w:rStyle w:val="Lienhypertexte"/>
            <w:noProof/>
          </w:rPr>
          <w:t>8.1 Caractéristiques des prix pratiqués</w:t>
        </w:r>
        <w:r w:rsidR="00B473C4">
          <w:rPr>
            <w:noProof/>
            <w:webHidden/>
          </w:rPr>
          <w:tab/>
        </w:r>
        <w:r w:rsidR="00B473C4">
          <w:rPr>
            <w:noProof/>
            <w:webHidden/>
          </w:rPr>
          <w:fldChar w:fldCharType="begin"/>
        </w:r>
        <w:r w:rsidR="00B473C4">
          <w:rPr>
            <w:noProof/>
            <w:webHidden/>
          </w:rPr>
          <w:instrText xml:space="preserve"> PAGEREF _Toc201735422 \h </w:instrText>
        </w:r>
        <w:r w:rsidR="00B473C4">
          <w:rPr>
            <w:noProof/>
            <w:webHidden/>
          </w:rPr>
        </w:r>
        <w:r w:rsidR="00B473C4">
          <w:rPr>
            <w:noProof/>
            <w:webHidden/>
          </w:rPr>
          <w:fldChar w:fldCharType="separate"/>
        </w:r>
        <w:r w:rsidR="00B473C4">
          <w:rPr>
            <w:noProof/>
            <w:webHidden/>
          </w:rPr>
          <w:t>6</w:t>
        </w:r>
        <w:r w:rsidR="00B473C4">
          <w:rPr>
            <w:noProof/>
            <w:webHidden/>
          </w:rPr>
          <w:fldChar w:fldCharType="end"/>
        </w:r>
      </w:hyperlink>
    </w:p>
    <w:p w14:paraId="3E1E4C03" w14:textId="075E8D06"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23" w:history="1">
        <w:r w:rsidR="00B473C4" w:rsidRPr="004A6829">
          <w:rPr>
            <w:rStyle w:val="Lienhypertexte"/>
            <w:noProof/>
          </w:rPr>
          <w:t>8.2 Modalités de variation des prix</w:t>
        </w:r>
        <w:r w:rsidR="00B473C4">
          <w:rPr>
            <w:noProof/>
            <w:webHidden/>
          </w:rPr>
          <w:tab/>
        </w:r>
        <w:r w:rsidR="00B473C4">
          <w:rPr>
            <w:noProof/>
            <w:webHidden/>
          </w:rPr>
          <w:fldChar w:fldCharType="begin"/>
        </w:r>
        <w:r w:rsidR="00B473C4">
          <w:rPr>
            <w:noProof/>
            <w:webHidden/>
          </w:rPr>
          <w:instrText xml:space="preserve"> PAGEREF _Toc201735423 \h </w:instrText>
        </w:r>
        <w:r w:rsidR="00B473C4">
          <w:rPr>
            <w:noProof/>
            <w:webHidden/>
          </w:rPr>
        </w:r>
        <w:r w:rsidR="00B473C4">
          <w:rPr>
            <w:noProof/>
            <w:webHidden/>
          </w:rPr>
          <w:fldChar w:fldCharType="separate"/>
        </w:r>
        <w:r w:rsidR="00B473C4">
          <w:rPr>
            <w:noProof/>
            <w:webHidden/>
          </w:rPr>
          <w:t>7</w:t>
        </w:r>
        <w:r w:rsidR="00B473C4">
          <w:rPr>
            <w:noProof/>
            <w:webHidden/>
          </w:rPr>
          <w:fldChar w:fldCharType="end"/>
        </w:r>
      </w:hyperlink>
    </w:p>
    <w:p w14:paraId="2B56EB7A" w14:textId="63D241C3"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24" w:history="1">
        <w:r w:rsidR="00B473C4" w:rsidRPr="004A6829">
          <w:rPr>
            <w:rStyle w:val="Lienhypertexte"/>
            <w:noProof/>
          </w:rPr>
          <w:t>9 - Garanties Financières</w:t>
        </w:r>
        <w:r w:rsidR="00B473C4">
          <w:rPr>
            <w:noProof/>
            <w:webHidden/>
          </w:rPr>
          <w:tab/>
        </w:r>
        <w:r w:rsidR="00B473C4">
          <w:rPr>
            <w:noProof/>
            <w:webHidden/>
          </w:rPr>
          <w:fldChar w:fldCharType="begin"/>
        </w:r>
        <w:r w:rsidR="00B473C4">
          <w:rPr>
            <w:noProof/>
            <w:webHidden/>
          </w:rPr>
          <w:instrText xml:space="preserve"> PAGEREF _Toc201735424 \h </w:instrText>
        </w:r>
        <w:r w:rsidR="00B473C4">
          <w:rPr>
            <w:noProof/>
            <w:webHidden/>
          </w:rPr>
        </w:r>
        <w:r w:rsidR="00B473C4">
          <w:rPr>
            <w:noProof/>
            <w:webHidden/>
          </w:rPr>
          <w:fldChar w:fldCharType="separate"/>
        </w:r>
        <w:r w:rsidR="00B473C4">
          <w:rPr>
            <w:noProof/>
            <w:webHidden/>
          </w:rPr>
          <w:t>7</w:t>
        </w:r>
        <w:r w:rsidR="00B473C4">
          <w:rPr>
            <w:noProof/>
            <w:webHidden/>
          </w:rPr>
          <w:fldChar w:fldCharType="end"/>
        </w:r>
      </w:hyperlink>
    </w:p>
    <w:p w14:paraId="40947FBC" w14:textId="3E2E0061"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25" w:history="1">
        <w:r w:rsidR="00B473C4" w:rsidRPr="004A6829">
          <w:rPr>
            <w:rStyle w:val="Lienhypertexte"/>
            <w:noProof/>
          </w:rPr>
          <w:t>10 - Avance</w:t>
        </w:r>
        <w:r w:rsidR="00B473C4">
          <w:rPr>
            <w:noProof/>
            <w:webHidden/>
          </w:rPr>
          <w:tab/>
        </w:r>
        <w:r w:rsidR="00B473C4">
          <w:rPr>
            <w:noProof/>
            <w:webHidden/>
          </w:rPr>
          <w:fldChar w:fldCharType="begin"/>
        </w:r>
        <w:r w:rsidR="00B473C4">
          <w:rPr>
            <w:noProof/>
            <w:webHidden/>
          </w:rPr>
          <w:instrText xml:space="preserve"> PAGEREF _Toc201735425 \h </w:instrText>
        </w:r>
        <w:r w:rsidR="00B473C4">
          <w:rPr>
            <w:noProof/>
            <w:webHidden/>
          </w:rPr>
        </w:r>
        <w:r w:rsidR="00B473C4">
          <w:rPr>
            <w:noProof/>
            <w:webHidden/>
          </w:rPr>
          <w:fldChar w:fldCharType="separate"/>
        </w:r>
        <w:r w:rsidR="00B473C4">
          <w:rPr>
            <w:noProof/>
            <w:webHidden/>
          </w:rPr>
          <w:t>7</w:t>
        </w:r>
        <w:r w:rsidR="00B473C4">
          <w:rPr>
            <w:noProof/>
            <w:webHidden/>
          </w:rPr>
          <w:fldChar w:fldCharType="end"/>
        </w:r>
      </w:hyperlink>
    </w:p>
    <w:p w14:paraId="1BF53607" w14:textId="5F44EBE6"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26" w:history="1">
        <w:r w:rsidR="00B473C4" w:rsidRPr="004A6829">
          <w:rPr>
            <w:rStyle w:val="Lienhypertexte"/>
            <w:noProof/>
          </w:rPr>
          <w:t>10.1 Conditions de versement et de remboursement</w:t>
        </w:r>
        <w:r w:rsidR="00B473C4">
          <w:rPr>
            <w:noProof/>
            <w:webHidden/>
          </w:rPr>
          <w:tab/>
        </w:r>
        <w:r w:rsidR="00B473C4">
          <w:rPr>
            <w:noProof/>
            <w:webHidden/>
          </w:rPr>
          <w:fldChar w:fldCharType="begin"/>
        </w:r>
        <w:r w:rsidR="00B473C4">
          <w:rPr>
            <w:noProof/>
            <w:webHidden/>
          </w:rPr>
          <w:instrText xml:space="preserve"> PAGEREF _Toc201735426 \h </w:instrText>
        </w:r>
        <w:r w:rsidR="00B473C4">
          <w:rPr>
            <w:noProof/>
            <w:webHidden/>
          </w:rPr>
        </w:r>
        <w:r w:rsidR="00B473C4">
          <w:rPr>
            <w:noProof/>
            <w:webHidden/>
          </w:rPr>
          <w:fldChar w:fldCharType="separate"/>
        </w:r>
        <w:r w:rsidR="00B473C4">
          <w:rPr>
            <w:noProof/>
            <w:webHidden/>
          </w:rPr>
          <w:t>7</w:t>
        </w:r>
        <w:r w:rsidR="00B473C4">
          <w:rPr>
            <w:noProof/>
            <w:webHidden/>
          </w:rPr>
          <w:fldChar w:fldCharType="end"/>
        </w:r>
      </w:hyperlink>
    </w:p>
    <w:p w14:paraId="29265F25" w14:textId="643B21C6"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27" w:history="1">
        <w:r w:rsidR="00B473C4" w:rsidRPr="004A6829">
          <w:rPr>
            <w:rStyle w:val="Lienhypertexte"/>
            <w:noProof/>
          </w:rPr>
          <w:t>10.2 Garanties financières de l'avance</w:t>
        </w:r>
        <w:r w:rsidR="00B473C4">
          <w:rPr>
            <w:noProof/>
            <w:webHidden/>
          </w:rPr>
          <w:tab/>
        </w:r>
        <w:r w:rsidR="00B473C4">
          <w:rPr>
            <w:noProof/>
            <w:webHidden/>
          </w:rPr>
          <w:fldChar w:fldCharType="begin"/>
        </w:r>
        <w:r w:rsidR="00B473C4">
          <w:rPr>
            <w:noProof/>
            <w:webHidden/>
          </w:rPr>
          <w:instrText xml:space="preserve"> PAGEREF _Toc201735427 \h </w:instrText>
        </w:r>
        <w:r w:rsidR="00B473C4">
          <w:rPr>
            <w:noProof/>
            <w:webHidden/>
          </w:rPr>
        </w:r>
        <w:r w:rsidR="00B473C4">
          <w:rPr>
            <w:noProof/>
            <w:webHidden/>
          </w:rPr>
          <w:fldChar w:fldCharType="separate"/>
        </w:r>
        <w:r w:rsidR="00B473C4">
          <w:rPr>
            <w:noProof/>
            <w:webHidden/>
          </w:rPr>
          <w:t>8</w:t>
        </w:r>
        <w:r w:rsidR="00B473C4">
          <w:rPr>
            <w:noProof/>
            <w:webHidden/>
          </w:rPr>
          <w:fldChar w:fldCharType="end"/>
        </w:r>
      </w:hyperlink>
    </w:p>
    <w:p w14:paraId="401CD58C" w14:textId="28BD5C7D"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28" w:history="1">
        <w:r w:rsidR="00B473C4" w:rsidRPr="004A6829">
          <w:rPr>
            <w:rStyle w:val="Lienhypertexte"/>
            <w:rFonts w:ascii="Calibri" w:hAnsi="Calibri" w:cs="Calibri"/>
            <w:noProof/>
          </w:rPr>
          <w:t>11 - Modalités de règlement des comptes</w:t>
        </w:r>
        <w:r w:rsidR="00B473C4">
          <w:rPr>
            <w:noProof/>
            <w:webHidden/>
          </w:rPr>
          <w:tab/>
        </w:r>
        <w:r w:rsidR="00B473C4">
          <w:rPr>
            <w:noProof/>
            <w:webHidden/>
          </w:rPr>
          <w:fldChar w:fldCharType="begin"/>
        </w:r>
        <w:r w:rsidR="00B473C4">
          <w:rPr>
            <w:noProof/>
            <w:webHidden/>
          </w:rPr>
          <w:instrText xml:space="preserve"> PAGEREF _Toc201735428 \h </w:instrText>
        </w:r>
        <w:r w:rsidR="00B473C4">
          <w:rPr>
            <w:noProof/>
            <w:webHidden/>
          </w:rPr>
        </w:r>
        <w:r w:rsidR="00B473C4">
          <w:rPr>
            <w:noProof/>
            <w:webHidden/>
          </w:rPr>
          <w:fldChar w:fldCharType="separate"/>
        </w:r>
        <w:r w:rsidR="00B473C4">
          <w:rPr>
            <w:noProof/>
            <w:webHidden/>
          </w:rPr>
          <w:t>8</w:t>
        </w:r>
        <w:r w:rsidR="00B473C4">
          <w:rPr>
            <w:noProof/>
            <w:webHidden/>
          </w:rPr>
          <w:fldChar w:fldCharType="end"/>
        </w:r>
      </w:hyperlink>
    </w:p>
    <w:p w14:paraId="2D394429" w14:textId="216E04AE"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29" w:history="1">
        <w:r w:rsidR="00B473C4" w:rsidRPr="004A6829">
          <w:rPr>
            <w:rStyle w:val="Lienhypertexte"/>
            <w:noProof/>
          </w:rPr>
          <w:t>11.1 Acomptes et paiements partiels définitifs</w:t>
        </w:r>
        <w:r w:rsidR="00B473C4">
          <w:rPr>
            <w:noProof/>
            <w:webHidden/>
          </w:rPr>
          <w:tab/>
        </w:r>
        <w:r w:rsidR="00B473C4">
          <w:rPr>
            <w:noProof/>
            <w:webHidden/>
          </w:rPr>
          <w:fldChar w:fldCharType="begin"/>
        </w:r>
        <w:r w:rsidR="00B473C4">
          <w:rPr>
            <w:noProof/>
            <w:webHidden/>
          </w:rPr>
          <w:instrText xml:space="preserve"> PAGEREF _Toc201735429 \h </w:instrText>
        </w:r>
        <w:r w:rsidR="00B473C4">
          <w:rPr>
            <w:noProof/>
            <w:webHidden/>
          </w:rPr>
        </w:r>
        <w:r w:rsidR="00B473C4">
          <w:rPr>
            <w:noProof/>
            <w:webHidden/>
          </w:rPr>
          <w:fldChar w:fldCharType="separate"/>
        </w:r>
        <w:r w:rsidR="00B473C4">
          <w:rPr>
            <w:noProof/>
            <w:webHidden/>
          </w:rPr>
          <w:t>8</w:t>
        </w:r>
        <w:r w:rsidR="00B473C4">
          <w:rPr>
            <w:noProof/>
            <w:webHidden/>
          </w:rPr>
          <w:fldChar w:fldCharType="end"/>
        </w:r>
      </w:hyperlink>
    </w:p>
    <w:p w14:paraId="08F8ACBE" w14:textId="52D8FAD8"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30" w:history="1">
        <w:r w:rsidR="00B473C4" w:rsidRPr="004A6829">
          <w:rPr>
            <w:rStyle w:val="Lienhypertexte"/>
            <w:noProof/>
          </w:rPr>
          <w:t>11.2 Présentation des demandes de paiement</w:t>
        </w:r>
        <w:r w:rsidR="00B473C4">
          <w:rPr>
            <w:noProof/>
            <w:webHidden/>
          </w:rPr>
          <w:tab/>
        </w:r>
        <w:r w:rsidR="00B473C4">
          <w:rPr>
            <w:noProof/>
            <w:webHidden/>
          </w:rPr>
          <w:fldChar w:fldCharType="begin"/>
        </w:r>
        <w:r w:rsidR="00B473C4">
          <w:rPr>
            <w:noProof/>
            <w:webHidden/>
          </w:rPr>
          <w:instrText xml:space="preserve"> PAGEREF _Toc201735430 \h </w:instrText>
        </w:r>
        <w:r w:rsidR="00B473C4">
          <w:rPr>
            <w:noProof/>
            <w:webHidden/>
          </w:rPr>
        </w:r>
        <w:r w:rsidR="00B473C4">
          <w:rPr>
            <w:noProof/>
            <w:webHidden/>
          </w:rPr>
          <w:fldChar w:fldCharType="separate"/>
        </w:r>
        <w:r w:rsidR="00B473C4">
          <w:rPr>
            <w:noProof/>
            <w:webHidden/>
          </w:rPr>
          <w:t>8</w:t>
        </w:r>
        <w:r w:rsidR="00B473C4">
          <w:rPr>
            <w:noProof/>
            <w:webHidden/>
          </w:rPr>
          <w:fldChar w:fldCharType="end"/>
        </w:r>
      </w:hyperlink>
    </w:p>
    <w:p w14:paraId="4707B251" w14:textId="28F2CBAF"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31" w:history="1">
        <w:r w:rsidR="00B473C4" w:rsidRPr="004A6829">
          <w:rPr>
            <w:rStyle w:val="Lienhypertexte"/>
            <w:noProof/>
          </w:rPr>
          <w:t>11.3 Délai global de paiement</w:t>
        </w:r>
        <w:r w:rsidR="00B473C4">
          <w:rPr>
            <w:noProof/>
            <w:webHidden/>
          </w:rPr>
          <w:tab/>
        </w:r>
        <w:r w:rsidR="00B473C4">
          <w:rPr>
            <w:noProof/>
            <w:webHidden/>
          </w:rPr>
          <w:fldChar w:fldCharType="begin"/>
        </w:r>
        <w:r w:rsidR="00B473C4">
          <w:rPr>
            <w:noProof/>
            <w:webHidden/>
          </w:rPr>
          <w:instrText xml:space="preserve"> PAGEREF _Toc201735431 \h </w:instrText>
        </w:r>
        <w:r w:rsidR="00B473C4">
          <w:rPr>
            <w:noProof/>
            <w:webHidden/>
          </w:rPr>
        </w:r>
        <w:r w:rsidR="00B473C4">
          <w:rPr>
            <w:noProof/>
            <w:webHidden/>
          </w:rPr>
          <w:fldChar w:fldCharType="separate"/>
        </w:r>
        <w:r w:rsidR="00B473C4">
          <w:rPr>
            <w:noProof/>
            <w:webHidden/>
          </w:rPr>
          <w:t>9</w:t>
        </w:r>
        <w:r w:rsidR="00B473C4">
          <w:rPr>
            <w:noProof/>
            <w:webHidden/>
          </w:rPr>
          <w:fldChar w:fldCharType="end"/>
        </w:r>
      </w:hyperlink>
    </w:p>
    <w:p w14:paraId="0D50973C" w14:textId="53A873D8"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32" w:history="1">
        <w:r w:rsidR="00B473C4" w:rsidRPr="004A6829">
          <w:rPr>
            <w:rStyle w:val="Lienhypertexte"/>
            <w:noProof/>
          </w:rPr>
          <w:t>11.4 Paiement des cotraitants</w:t>
        </w:r>
        <w:r w:rsidR="00B473C4">
          <w:rPr>
            <w:noProof/>
            <w:webHidden/>
          </w:rPr>
          <w:tab/>
        </w:r>
        <w:r w:rsidR="00B473C4">
          <w:rPr>
            <w:noProof/>
            <w:webHidden/>
          </w:rPr>
          <w:fldChar w:fldCharType="begin"/>
        </w:r>
        <w:r w:rsidR="00B473C4">
          <w:rPr>
            <w:noProof/>
            <w:webHidden/>
          </w:rPr>
          <w:instrText xml:space="preserve"> PAGEREF _Toc201735432 \h </w:instrText>
        </w:r>
        <w:r w:rsidR="00B473C4">
          <w:rPr>
            <w:noProof/>
            <w:webHidden/>
          </w:rPr>
        </w:r>
        <w:r w:rsidR="00B473C4">
          <w:rPr>
            <w:noProof/>
            <w:webHidden/>
          </w:rPr>
          <w:fldChar w:fldCharType="separate"/>
        </w:r>
        <w:r w:rsidR="00B473C4">
          <w:rPr>
            <w:noProof/>
            <w:webHidden/>
          </w:rPr>
          <w:t>9</w:t>
        </w:r>
        <w:r w:rsidR="00B473C4">
          <w:rPr>
            <w:noProof/>
            <w:webHidden/>
          </w:rPr>
          <w:fldChar w:fldCharType="end"/>
        </w:r>
      </w:hyperlink>
    </w:p>
    <w:p w14:paraId="67C6890C" w14:textId="50F6F69C"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33" w:history="1">
        <w:r w:rsidR="00B473C4" w:rsidRPr="004A6829">
          <w:rPr>
            <w:rStyle w:val="Lienhypertexte"/>
            <w:noProof/>
          </w:rPr>
          <w:t>11.5 Paiement des sous-traitants</w:t>
        </w:r>
        <w:r w:rsidR="00B473C4">
          <w:rPr>
            <w:noProof/>
            <w:webHidden/>
          </w:rPr>
          <w:tab/>
        </w:r>
        <w:r w:rsidR="00B473C4">
          <w:rPr>
            <w:noProof/>
            <w:webHidden/>
          </w:rPr>
          <w:fldChar w:fldCharType="begin"/>
        </w:r>
        <w:r w:rsidR="00B473C4">
          <w:rPr>
            <w:noProof/>
            <w:webHidden/>
          </w:rPr>
          <w:instrText xml:space="preserve"> PAGEREF _Toc201735433 \h </w:instrText>
        </w:r>
        <w:r w:rsidR="00B473C4">
          <w:rPr>
            <w:noProof/>
            <w:webHidden/>
          </w:rPr>
        </w:r>
        <w:r w:rsidR="00B473C4">
          <w:rPr>
            <w:noProof/>
            <w:webHidden/>
          </w:rPr>
          <w:fldChar w:fldCharType="separate"/>
        </w:r>
        <w:r w:rsidR="00B473C4">
          <w:rPr>
            <w:noProof/>
            <w:webHidden/>
          </w:rPr>
          <w:t>9</w:t>
        </w:r>
        <w:r w:rsidR="00B473C4">
          <w:rPr>
            <w:noProof/>
            <w:webHidden/>
          </w:rPr>
          <w:fldChar w:fldCharType="end"/>
        </w:r>
      </w:hyperlink>
    </w:p>
    <w:p w14:paraId="468490AA" w14:textId="1AE7345B"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34" w:history="1">
        <w:r w:rsidR="00B473C4" w:rsidRPr="004A6829">
          <w:rPr>
            <w:rStyle w:val="Lienhypertexte"/>
            <w:noProof/>
          </w:rPr>
          <w:t>12 - Garantie des prestations</w:t>
        </w:r>
        <w:r w:rsidR="00B473C4">
          <w:rPr>
            <w:noProof/>
            <w:webHidden/>
          </w:rPr>
          <w:tab/>
        </w:r>
        <w:r w:rsidR="00B473C4">
          <w:rPr>
            <w:noProof/>
            <w:webHidden/>
          </w:rPr>
          <w:fldChar w:fldCharType="begin"/>
        </w:r>
        <w:r w:rsidR="00B473C4">
          <w:rPr>
            <w:noProof/>
            <w:webHidden/>
          </w:rPr>
          <w:instrText xml:space="preserve"> PAGEREF _Toc201735434 \h </w:instrText>
        </w:r>
        <w:r w:rsidR="00B473C4">
          <w:rPr>
            <w:noProof/>
            <w:webHidden/>
          </w:rPr>
        </w:r>
        <w:r w:rsidR="00B473C4">
          <w:rPr>
            <w:noProof/>
            <w:webHidden/>
          </w:rPr>
          <w:fldChar w:fldCharType="separate"/>
        </w:r>
        <w:r w:rsidR="00B473C4">
          <w:rPr>
            <w:noProof/>
            <w:webHidden/>
          </w:rPr>
          <w:t>9</w:t>
        </w:r>
        <w:r w:rsidR="00B473C4">
          <w:rPr>
            <w:noProof/>
            <w:webHidden/>
          </w:rPr>
          <w:fldChar w:fldCharType="end"/>
        </w:r>
      </w:hyperlink>
    </w:p>
    <w:p w14:paraId="66AE9489" w14:textId="7AB046CE"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35" w:history="1">
        <w:r w:rsidR="00B473C4" w:rsidRPr="004A6829">
          <w:rPr>
            <w:rStyle w:val="Lienhypertexte"/>
            <w:noProof/>
          </w:rPr>
          <w:t>13 – Pénalités</w:t>
        </w:r>
        <w:r w:rsidR="00B473C4">
          <w:rPr>
            <w:noProof/>
            <w:webHidden/>
          </w:rPr>
          <w:tab/>
        </w:r>
        <w:r w:rsidR="00B473C4">
          <w:rPr>
            <w:noProof/>
            <w:webHidden/>
          </w:rPr>
          <w:fldChar w:fldCharType="begin"/>
        </w:r>
        <w:r w:rsidR="00B473C4">
          <w:rPr>
            <w:noProof/>
            <w:webHidden/>
          </w:rPr>
          <w:instrText xml:space="preserve"> PAGEREF _Toc201735435 \h </w:instrText>
        </w:r>
        <w:r w:rsidR="00B473C4">
          <w:rPr>
            <w:noProof/>
            <w:webHidden/>
          </w:rPr>
        </w:r>
        <w:r w:rsidR="00B473C4">
          <w:rPr>
            <w:noProof/>
            <w:webHidden/>
          </w:rPr>
          <w:fldChar w:fldCharType="separate"/>
        </w:r>
        <w:r w:rsidR="00B473C4">
          <w:rPr>
            <w:noProof/>
            <w:webHidden/>
          </w:rPr>
          <w:t>9</w:t>
        </w:r>
        <w:r w:rsidR="00B473C4">
          <w:rPr>
            <w:noProof/>
            <w:webHidden/>
          </w:rPr>
          <w:fldChar w:fldCharType="end"/>
        </w:r>
      </w:hyperlink>
    </w:p>
    <w:p w14:paraId="5285303F" w14:textId="6FEFBB57"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36" w:history="1">
        <w:r w:rsidR="00B473C4" w:rsidRPr="004A6829">
          <w:rPr>
            <w:rStyle w:val="Lienhypertexte"/>
            <w:noProof/>
          </w:rPr>
          <w:t>13.1 Pénalités de retard</w:t>
        </w:r>
        <w:r w:rsidR="00B473C4">
          <w:rPr>
            <w:noProof/>
            <w:webHidden/>
          </w:rPr>
          <w:tab/>
        </w:r>
        <w:r w:rsidR="00B473C4">
          <w:rPr>
            <w:noProof/>
            <w:webHidden/>
          </w:rPr>
          <w:fldChar w:fldCharType="begin"/>
        </w:r>
        <w:r w:rsidR="00B473C4">
          <w:rPr>
            <w:noProof/>
            <w:webHidden/>
          </w:rPr>
          <w:instrText xml:space="preserve"> PAGEREF _Toc201735436 \h </w:instrText>
        </w:r>
        <w:r w:rsidR="00B473C4">
          <w:rPr>
            <w:noProof/>
            <w:webHidden/>
          </w:rPr>
        </w:r>
        <w:r w:rsidR="00B473C4">
          <w:rPr>
            <w:noProof/>
            <w:webHidden/>
          </w:rPr>
          <w:fldChar w:fldCharType="separate"/>
        </w:r>
        <w:r w:rsidR="00B473C4">
          <w:rPr>
            <w:noProof/>
            <w:webHidden/>
          </w:rPr>
          <w:t>12</w:t>
        </w:r>
        <w:r w:rsidR="00B473C4">
          <w:rPr>
            <w:noProof/>
            <w:webHidden/>
          </w:rPr>
          <w:fldChar w:fldCharType="end"/>
        </w:r>
      </w:hyperlink>
    </w:p>
    <w:p w14:paraId="5A98D0FA" w14:textId="3EC5B3FA"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37" w:history="1">
        <w:r w:rsidR="00B473C4" w:rsidRPr="004A6829">
          <w:rPr>
            <w:rStyle w:val="Lienhypertexte"/>
            <w:noProof/>
          </w:rPr>
          <w:t>13.2 Pénalité pour travail dissimulé</w:t>
        </w:r>
        <w:r w:rsidR="00B473C4">
          <w:rPr>
            <w:noProof/>
            <w:webHidden/>
          </w:rPr>
          <w:tab/>
        </w:r>
        <w:r w:rsidR="00B473C4">
          <w:rPr>
            <w:noProof/>
            <w:webHidden/>
          </w:rPr>
          <w:fldChar w:fldCharType="begin"/>
        </w:r>
        <w:r w:rsidR="00B473C4">
          <w:rPr>
            <w:noProof/>
            <w:webHidden/>
          </w:rPr>
          <w:instrText xml:space="preserve"> PAGEREF _Toc201735437 \h </w:instrText>
        </w:r>
        <w:r w:rsidR="00B473C4">
          <w:rPr>
            <w:noProof/>
            <w:webHidden/>
          </w:rPr>
        </w:r>
        <w:r w:rsidR="00B473C4">
          <w:rPr>
            <w:noProof/>
            <w:webHidden/>
          </w:rPr>
          <w:fldChar w:fldCharType="separate"/>
        </w:r>
        <w:r w:rsidR="00B473C4">
          <w:rPr>
            <w:noProof/>
            <w:webHidden/>
          </w:rPr>
          <w:t>12</w:t>
        </w:r>
        <w:r w:rsidR="00B473C4">
          <w:rPr>
            <w:noProof/>
            <w:webHidden/>
          </w:rPr>
          <w:fldChar w:fldCharType="end"/>
        </w:r>
      </w:hyperlink>
    </w:p>
    <w:p w14:paraId="3395FCD5" w14:textId="7A5DE91D" w:rsidR="00B473C4" w:rsidRDefault="00E213CA">
      <w:pPr>
        <w:pStyle w:val="TM2"/>
        <w:tabs>
          <w:tab w:val="right" w:pos="9790"/>
        </w:tabs>
        <w:rPr>
          <w:rFonts w:eastAsiaTheme="minorEastAsia" w:cstheme="minorBidi"/>
          <w:b w:val="0"/>
          <w:bCs w:val="0"/>
          <w:smallCaps w:val="0"/>
          <w:noProof/>
          <w:kern w:val="2"/>
          <w:sz w:val="24"/>
          <w:szCs w:val="24"/>
          <w:lang w:eastAsia="zh-CN"/>
          <w14:ligatures w14:val="standardContextual"/>
        </w:rPr>
      </w:pPr>
      <w:hyperlink w:anchor="_Toc201735438" w:history="1">
        <w:r w:rsidR="00B473C4" w:rsidRPr="004A6829">
          <w:rPr>
            <w:rStyle w:val="Lienhypertexte"/>
            <w:noProof/>
          </w:rPr>
          <w:t>13.3 Autres pénalités spécifiques</w:t>
        </w:r>
        <w:r w:rsidR="00B473C4">
          <w:rPr>
            <w:noProof/>
            <w:webHidden/>
          </w:rPr>
          <w:tab/>
        </w:r>
        <w:r w:rsidR="00B473C4">
          <w:rPr>
            <w:noProof/>
            <w:webHidden/>
          </w:rPr>
          <w:fldChar w:fldCharType="begin"/>
        </w:r>
        <w:r w:rsidR="00B473C4">
          <w:rPr>
            <w:noProof/>
            <w:webHidden/>
          </w:rPr>
          <w:instrText xml:space="preserve"> PAGEREF _Toc201735438 \h </w:instrText>
        </w:r>
        <w:r w:rsidR="00B473C4">
          <w:rPr>
            <w:noProof/>
            <w:webHidden/>
          </w:rPr>
        </w:r>
        <w:r w:rsidR="00B473C4">
          <w:rPr>
            <w:noProof/>
            <w:webHidden/>
          </w:rPr>
          <w:fldChar w:fldCharType="separate"/>
        </w:r>
        <w:r w:rsidR="00B473C4">
          <w:rPr>
            <w:noProof/>
            <w:webHidden/>
          </w:rPr>
          <w:t>12</w:t>
        </w:r>
        <w:r w:rsidR="00B473C4">
          <w:rPr>
            <w:noProof/>
            <w:webHidden/>
          </w:rPr>
          <w:fldChar w:fldCharType="end"/>
        </w:r>
      </w:hyperlink>
    </w:p>
    <w:p w14:paraId="1C115471" w14:textId="371F5C1D" w:rsidR="00B473C4" w:rsidRDefault="00E213CA">
      <w:pPr>
        <w:pStyle w:val="TM3"/>
        <w:tabs>
          <w:tab w:val="right" w:pos="9790"/>
        </w:tabs>
        <w:rPr>
          <w:rFonts w:eastAsiaTheme="minorEastAsia" w:cstheme="minorBidi"/>
          <w:smallCaps w:val="0"/>
          <w:noProof/>
          <w:kern w:val="2"/>
          <w:sz w:val="24"/>
          <w:szCs w:val="24"/>
          <w:lang w:eastAsia="zh-CN"/>
          <w14:ligatures w14:val="standardContextual"/>
        </w:rPr>
      </w:pPr>
      <w:hyperlink w:anchor="_Toc201735439" w:history="1">
        <w:r w:rsidR="00B473C4" w:rsidRPr="004A6829">
          <w:rPr>
            <w:rStyle w:val="Lienhypertexte"/>
            <w:noProof/>
          </w:rPr>
          <w:t>13.3.1 Pénalités pour indisponibilités de matériel</w:t>
        </w:r>
        <w:r w:rsidR="00B473C4">
          <w:rPr>
            <w:noProof/>
            <w:webHidden/>
          </w:rPr>
          <w:tab/>
        </w:r>
        <w:r w:rsidR="00B473C4">
          <w:rPr>
            <w:noProof/>
            <w:webHidden/>
          </w:rPr>
          <w:fldChar w:fldCharType="begin"/>
        </w:r>
        <w:r w:rsidR="00B473C4">
          <w:rPr>
            <w:noProof/>
            <w:webHidden/>
          </w:rPr>
          <w:instrText xml:space="preserve"> PAGEREF _Toc201735439 \h </w:instrText>
        </w:r>
        <w:r w:rsidR="00B473C4">
          <w:rPr>
            <w:noProof/>
            <w:webHidden/>
          </w:rPr>
        </w:r>
        <w:r w:rsidR="00B473C4">
          <w:rPr>
            <w:noProof/>
            <w:webHidden/>
          </w:rPr>
          <w:fldChar w:fldCharType="separate"/>
        </w:r>
        <w:r w:rsidR="00B473C4">
          <w:rPr>
            <w:noProof/>
            <w:webHidden/>
          </w:rPr>
          <w:t>12</w:t>
        </w:r>
        <w:r w:rsidR="00B473C4">
          <w:rPr>
            <w:noProof/>
            <w:webHidden/>
          </w:rPr>
          <w:fldChar w:fldCharType="end"/>
        </w:r>
      </w:hyperlink>
    </w:p>
    <w:p w14:paraId="5FE13D74" w14:textId="002998DD" w:rsidR="00B473C4" w:rsidRDefault="00E213CA">
      <w:pPr>
        <w:pStyle w:val="TM3"/>
        <w:tabs>
          <w:tab w:val="right" w:pos="9790"/>
        </w:tabs>
        <w:rPr>
          <w:rFonts w:eastAsiaTheme="minorEastAsia" w:cstheme="minorBidi"/>
          <w:smallCaps w:val="0"/>
          <w:noProof/>
          <w:kern w:val="2"/>
          <w:sz w:val="24"/>
          <w:szCs w:val="24"/>
          <w:lang w:eastAsia="zh-CN"/>
          <w14:ligatures w14:val="standardContextual"/>
        </w:rPr>
      </w:pPr>
      <w:hyperlink w:anchor="_Toc201735440" w:history="1">
        <w:r w:rsidR="00B473C4" w:rsidRPr="004A6829">
          <w:rPr>
            <w:rStyle w:val="Lienhypertexte"/>
            <w:noProof/>
          </w:rPr>
          <w:t>13.3.2 Pénalités pour non-respect de présence</w:t>
        </w:r>
        <w:r w:rsidR="00B473C4">
          <w:rPr>
            <w:noProof/>
            <w:webHidden/>
          </w:rPr>
          <w:tab/>
        </w:r>
        <w:r w:rsidR="00B473C4">
          <w:rPr>
            <w:noProof/>
            <w:webHidden/>
          </w:rPr>
          <w:fldChar w:fldCharType="begin"/>
        </w:r>
        <w:r w:rsidR="00B473C4">
          <w:rPr>
            <w:noProof/>
            <w:webHidden/>
          </w:rPr>
          <w:instrText xml:space="preserve"> PAGEREF _Toc201735440 \h </w:instrText>
        </w:r>
        <w:r w:rsidR="00B473C4">
          <w:rPr>
            <w:noProof/>
            <w:webHidden/>
          </w:rPr>
        </w:r>
        <w:r w:rsidR="00B473C4">
          <w:rPr>
            <w:noProof/>
            <w:webHidden/>
          </w:rPr>
          <w:fldChar w:fldCharType="separate"/>
        </w:r>
        <w:r w:rsidR="00B473C4">
          <w:rPr>
            <w:noProof/>
            <w:webHidden/>
          </w:rPr>
          <w:t>13</w:t>
        </w:r>
        <w:r w:rsidR="00B473C4">
          <w:rPr>
            <w:noProof/>
            <w:webHidden/>
          </w:rPr>
          <w:fldChar w:fldCharType="end"/>
        </w:r>
      </w:hyperlink>
    </w:p>
    <w:p w14:paraId="5EFF7324" w14:textId="17B83C5E"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41" w:history="1">
        <w:r w:rsidR="00B473C4" w:rsidRPr="004A6829">
          <w:rPr>
            <w:rStyle w:val="Lienhypertexte"/>
            <w:noProof/>
          </w:rPr>
          <w:t>14 - Assurances</w:t>
        </w:r>
        <w:r w:rsidR="00B473C4">
          <w:rPr>
            <w:noProof/>
            <w:webHidden/>
          </w:rPr>
          <w:tab/>
        </w:r>
        <w:r w:rsidR="00B473C4">
          <w:rPr>
            <w:noProof/>
            <w:webHidden/>
          </w:rPr>
          <w:fldChar w:fldCharType="begin"/>
        </w:r>
        <w:r w:rsidR="00B473C4">
          <w:rPr>
            <w:noProof/>
            <w:webHidden/>
          </w:rPr>
          <w:instrText xml:space="preserve"> PAGEREF _Toc201735441 \h </w:instrText>
        </w:r>
        <w:r w:rsidR="00B473C4">
          <w:rPr>
            <w:noProof/>
            <w:webHidden/>
          </w:rPr>
        </w:r>
        <w:r w:rsidR="00B473C4">
          <w:rPr>
            <w:noProof/>
            <w:webHidden/>
          </w:rPr>
          <w:fldChar w:fldCharType="separate"/>
        </w:r>
        <w:r w:rsidR="00B473C4">
          <w:rPr>
            <w:noProof/>
            <w:webHidden/>
          </w:rPr>
          <w:t>13</w:t>
        </w:r>
        <w:r w:rsidR="00B473C4">
          <w:rPr>
            <w:noProof/>
            <w:webHidden/>
          </w:rPr>
          <w:fldChar w:fldCharType="end"/>
        </w:r>
      </w:hyperlink>
    </w:p>
    <w:p w14:paraId="08F10A6B" w14:textId="03285978"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42" w:history="1">
        <w:r w:rsidR="00B473C4" w:rsidRPr="004A6829">
          <w:rPr>
            <w:rStyle w:val="Lienhypertexte"/>
            <w:noProof/>
          </w:rPr>
          <w:t>15 - Résiliation</w:t>
        </w:r>
        <w:r w:rsidR="00B473C4">
          <w:rPr>
            <w:noProof/>
            <w:webHidden/>
          </w:rPr>
          <w:tab/>
        </w:r>
        <w:r w:rsidR="00B473C4">
          <w:rPr>
            <w:noProof/>
            <w:webHidden/>
          </w:rPr>
          <w:fldChar w:fldCharType="begin"/>
        </w:r>
        <w:r w:rsidR="00B473C4">
          <w:rPr>
            <w:noProof/>
            <w:webHidden/>
          </w:rPr>
          <w:instrText xml:space="preserve"> PAGEREF _Toc201735442 \h </w:instrText>
        </w:r>
        <w:r w:rsidR="00B473C4">
          <w:rPr>
            <w:noProof/>
            <w:webHidden/>
          </w:rPr>
        </w:r>
        <w:r w:rsidR="00B473C4">
          <w:rPr>
            <w:noProof/>
            <w:webHidden/>
          </w:rPr>
          <w:fldChar w:fldCharType="separate"/>
        </w:r>
        <w:r w:rsidR="00B473C4">
          <w:rPr>
            <w:noProof/>
            <w:webHidden/>
          </w:rPr>
          <w:t>13</w:t>
        </w:r>
        <w:r w:rsidR="00B473C4">
          <w:rPr>
            <w:noProof/>
            <w:webHidden/>
          </w:rPr>
          <w:fldChar w:fldCharType="end"/>
        </w:r>
      </w:hyperlink>
    </w:p>
    <w:p w14:paraId="22295249" w14:textId="56C2A4B8"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43" w:history="1">
        <w:r w:rsidR="00B473C4" w:rsidRPr="004A6829">
          <w:rPr>
            <w:rStyle w:val="Lienhypertexte"/>
            <w:noProof/>
          </w:rPr>
          <w:t>16 - Exécution du marché aux frais et risques du titulaire</w:t>
        </w:r>
        <w:r w:rsidR="00B473C4">
          <w:rPr>
            <w:noProof/>
            <w:webHidden/>
          </w:rPr>
          <w:tab/>
        </w:r>
        <w:r w:rsidR="00B473C4">
          <w:rPr>
            <w:noProof/>
            <w:webHidden/>
          </w:rPr>
          <w:fldChar w:fldCharType="begin"/>
        </w:r>
        <w:r w:rsidR="00B473C4">
          <w:rPr>
            <w:noProof/>
            <w:webHidden/>
          </w:rPr>
          <w:instrText xml:space="preserve"> PAGEREF _Toc201735443 \h </w:instrText>
        </w:r>
        <w:r w:rsidR="00B473C4">
          <w:rPr>
            <w:noProof/>
            <w:webHidden/>
          </w:rPr>
        </w:r>
        <w:r w:rsidR="00B473C4">
          <w:rPr>
            <w:noProof/>
            <w:webHidden/>
          </w:rPr>
          <w:fldChar w:fldCharType="separate"/>
        </w:r>
        <w:r w:rsidR="00B473C4">
          <w:rPr>
            <w:noProof/>
            <w:webHidden/>
          </w:rPr>
          <w:t>13</w:t>
        </w:r>
        <w:r w:rsidR="00B473C4">
          <w:rPr>
            <w:noProof/>
            <w:webHidden/>
          </w:rPr>
          <w:fldChar w:fldCharType="end"/>
        </w:r>
      </w:hyperlink>
    </w:p>
    <w:p w14:paraId="264682D4" w14:textId="700F0F0F"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44" w:history="1">
        <w:r w:rsidR="00B473C4" w:rsidRPr="004A6829">
          <w:rPr>
            <w:rStyle w:val="Lienhypertexte"/>
            <w:noProof/>
          </w:rPr>
          <w:t>17 - Clause de réexamen</w:t>
        </w:r>
        <w:r w:rsidR="00B473C4">
          <w:rPr>
            <w:noProof/>
            <w:webHidden/>
          </w:rPr>
          <w:tab/>
        </w:r>
        <w:r w:rsidR="00B473C4">
          <w:rPr>
            <w:noProof/>
            <w:webHidden/>
          </w:rPr>
          <w:fldChar w:fldCharType="begin"/>
        </w:r>
        <w:r w:rsidR="00B473C4">
          <w:rPr>
            <w:noProof/>
            <w:webHidden/>
          </w:rPr>
          <w:instrText xml:space="preserve"> PAGEREF _Toc201735444 \h </w:instrText>
        </w:r>
        <w:r w:rsidR="00B473C4">
          <w:rPr>
            <w:noProof/>
            <w:webHidden/>
          </w:rPr>
        </w:r>
        <w:r w:rsidR="00B473C4">
          <w:rPr>
            <w:noProof/>
            <w:webHidden/>
          </w:rPr>
          <w:fldChar w:fldCharType="separate"/>
        </w:r>
        <w:r w:rsidR="00B473C4">
          <w:rPr>
            <w:noProof/>
            <w:webHidden/>
          </w:rPr>
          <w:t>13</w:t>
        </w:r>
        <w:r w:rsidR="00B473C4">
          <w:rPr>
            <w:noProof/>
            <w:webHidden/>
          </w:rPr>
          <w:fldChar w:fldCharType="end"/>
        </w:r>
      </w:hyperlink>
    </w:p>
    <w:p w14:paraId="7A15BD5A" w14:textId="15C0D499"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45" w:history="1">
        <w:r w:rsidR="00B473C4" w:rsidRPr="004A6829">
          <w:rPr>
            <w:rStyle w:val="Lienhypertexte"/>
            <w:noProof/>
            <w:w w:val="95"/>
          </w:rPr>
          <w:t>18 - Litiges et langues</w:t>
        </w:r>
        <w:r w:rsidR="00B473C4">
          <w:rPr>
            <w:noProof/>
            <w:webHidden/>
          </w:rPr>
          <w:tab/>
        </w:r>
        <w:r w:rsidR="00B473C4">
          <w:rPr>
            <w:noProof/>
            <w:webHidden/>
          </w:rPr>
          <w:fldChar w:fldCharType="begin"/>
        </w:r>
        <w:r w:rsidR="00B473C4">
          <w:rPr>
            <w:noProof/>
            <w:webHidden/>
          </w:rPr>
          <w:instrText xml:space="preserve"> PAGEREF _Toc201735445 \h </w:instrText>
        </w:r>
        <w:r w:rsidR="00B473C4">
          <w:rPr>
            <w:noProof/>
            <w:webHidden/>
          </w:rPr>
        </w:r>
        <w:r w:rsidR="00B473C4">
          <w:rPr>
            <w:noProof/>
            <w:webHidden/>
          </w:rPr>
          <w:fldChar w:fldCharType="separate"/>
        </w:r>
        <w:r w:rsidR="00B473C4">
          <w:rPr>
            <w:noProof/>
            <w:webHidden/>
          </w:rPr>
          <w:t>14</w:t>
        </w:r>
        <w:r w:rsidR="00B473C4">
          <w:rPr>
            <w:noProof/>
            <w:webHidden/>
          </w:rPr>
          <w:fldChar w:fldCharType="end"/>
        </w:r>
      </w:hyperlink>
    </w:p>
    <w:p w14:paraId="2F0E2AB2" w14:textId="5B670EB8" w:rsidR="00B473C4" w:rsidRDefault="00E213CA">
      <w:pPr>
        <w:pStyle w:val="TM1"/>
        <w:tabs>
          <w:tab w:val="right" w:pos="9790"/>
        </w:tabs>
        <w:rPr>
          <w:rFonts w:eastAsiaTheme="minorEastAsia" w:cstheme="minorBidi"/>
          <w:b w:val="0"/>
          <w:bCs w:val="0"/>
          <w:caps w:val="0"/>
          <w:noProof/>
          <w:kern w:val="2"/>
          <w:sz w:val="24"/>
          <w:szCs w:val="24"/>
          <w:u w:val="none"/>
          <w:lang w:eastAsia="zh-CN"/>
          <w14:ligatures w14:val="standardContextual"/>
        </w:rPr>
      </w:pPr>
      <w:hyperlink w:anchor="_Toc201735446" w:history="1">
        <w:r w:rsidR="00B473C4" w:rsidRPr="004A6829">
          <w:rPr>
            <w:rStyle w:val="Lienhypertexte"/>
            <w:noProof/>
          </w:rPr>
          <w:t>19 - Dérogations au C.C.A.G. F.C.S.</w:t>
        </w:r>
        <w:r w:rsidR="00B473C4">
          <w:rPr>
            <w:noProof/>
            <w:webHidden/>
          </w:rPr>
          <w:tab/>
        </w:r>
        <w:r w:rsidR="00B473C4">
          <w:rPr>
            <w:noProof/>
            <w:webHidden/>
          </w:rPr>
          <w:fldChar w:fldCharType="begin"/>
        </w:r>
        <w:r w:rsidR="00B473C4">
          <w:rPr>
            <w:noProof/>
            <w:webHidden/>
          </w:rPr>
          <w:instrText xml:space="preserve"> PAGEREF _Toc201735446 \h </w:instrText>
        </w:r>
        <w:r w:rsidR="00B473C4">
          <w:rPr>
            <w:noProof/>
            <w:webHidden/>
          </w:rPr>
        </w:r>
        <w:r w:rsidR="00B473C4">
          <w:rPr>
            <w:noProof/>
            <w:webHidden/>
          </w:rPr>
          <w:fldChar w:fldCharType="separate"/>
        </w:r>
        <w:r w:rsidR="00B473C4">
          <w:rPr>
            <w:noProof/>
            <w:webHidden/>
          </w:rPr>
          <w:t>14</w:t>
        </w:r>
        <w:r w:rsidR="00B473C4">
          <w:rPr>
            <w:noProof/>
            <w:webHidden/>
          </w:rPr>
          <w:fldChar w:fldCharType="end"/>
        </w:r>
      </w:hyperlink>
    </w:p>
    <w:p w14:paraId="0A51F905" w14:textId="4D88B206" w:rsidR="005A2E65" w:rsidRDefault="00B473C4">
      <w:pPr>
        <w:jc w:val="left"/>
        <w:rPr>
          <w:rFonts w:ascii="Segoe UI" w:eastAsiaTheme="majorEastAsia" w:hAnsi="Segoe UI" w:cs="Segoe UI"/>
          <w:b/>
          <w:bCs/>
          <w:sz w:val="28"/>
          <w:szCs w:val="28"/>
        </w:rPr>
      </w:pPr>
      <w:r>
        <w:rPr>
          <w:rFonts w:ascii="Segoe UI" w:eastAsiaTheme="majorEastAsia" w:hAnsi="Segoe UI" w:cs="Segoe UI"/>
          <w:b/>
          <w:bCs/>
          <w:sz w:val="28"/>
          <w:szCs w:val="28"/>
        </w:rPr>
        <w:fldChar w:fldCharType="end"/>
      </w:r>
    </w:p>
    <w:p w14:paraId="237F9EF6" w14:textId="77777777" w:rsidR="00C04933" w:rsidRDefault="00C04933">
      <w:pPr>
        <w:jc w:val="left"/>
        <w:rPr>
          <w:rFonts w:ascii="Segoe UI" w:eastAsiaTheme="majorEastAsia" w:hAnsi="Segoe UI" w:cs="Segoe UI"/>
          <w:b/>
          <w:bCs/>
          <w:sz w:val="28"/>
          <w:szCs w:val="28"/>
        </w:rPr>
      </w:pPr>
    </w:p>
    <w:p w14:paraId="551BF7F4" w14:textId="77777777" w:rsidR="00C04933" w:rsidRDefault="00C04933">
      <w:pPr>
        <w:jc w:val="left"/>
        <w:rPr>
          <w:rFonts w:ascii="Segoe UI" w:eastAsiaTheme="majorEastAsia" w:hAnsi="Segoe UI" w:cs="Segoe UI"/>
          <w:b/>
          <w:bCs/>
          <w:sz w:val="28"/>
          <w:szCs w:val="28"/>
        </w:rPr>
      </w:pPr>
    </w:p>
    <w:p w14:paraId="1301F2A7" w14:textId="77777777" w:rsidR="00C04933" w:rsidRDefault="00C04933">
      <w:pPr>
        <w:jc w:val="left"/>
        <w:rPr>
          <w:rFonts w:ascii="Segoe UI" w:eastAsiaTheme="majorEastAsia" w:hAnsi="Segoe UI" w:cs="Segoe UI"/>
          <w:b/>
          <w:bCs/>
          <w:sz w:val="28"/>
          <w:szCs w:val="28"/>
        </w:rPr>
      </w:pPr>
    </w:p>
    <w:p w14:paraId="7BEFECF9" w14:textId="3E62FB6D" w:rsidR="00C04933" w:rsidRDefault="00C04933">
      <w:pPr>
        <w:jc w:val="left"/>
        <w:rPr>
          <w:rFonts w:ascii="Segoe UI" w:eastAsiaTheme="majorEastAsia" w:hAnsi="Segoe UI" w:cs="Segoe UI"/>
          <w:b/>
          <w:bCs/>
          <w:sz w:val="28"/>
          <w:szCs w:val="28"/>
        </w:rPr>
      </w:pPr>
      <w:r>
        <w:rPr>
          <w:rFonts w:ascii="Segoe UI" w:eastAsiaTheme="majorEastAsia" w:hAnsi="Segoe UI" w:cs="Segoe UI"/>
          <w:b/>
          <w:bCs/>
          <w:sz w:val="28"/>
          <w:szCs w:val="28"/>
        </w:rPr>
        <w:br w:type="page"/>
      </w:r>
    </w:p>
    <w:p w14:paraId="76545EE2" w14:textId="77777777" w:rsidR="00C04933" w:rsidRDefault="00C04933">
      <w:pPr>
        <w:jc w:val="left"/>
        <w:rPr>
          <w:rFonts w:ascii="Segoe UI" w:eastAsiaTheme="majorEastAsia" w:hAnsi="Segoe UI" w:cs="Segoe UI"/>
          <w:b/>
          <w:bCs/>
          <w:sz w:val="28"/>
          <w:szCs w:val="28"/>
        </w:rPr>
      </w:pPr>
    </w:p>
    <w:p w14:paraId="7184C0A3" w14:textId="4F323FD6" w:rsidR="00927B25" w:rsidRPr="005A2E65" w:rsidRDefault="00B6684F" w:rsidP="005A2E65">
      <w:pPr>
        <w:pStyle w:val="Titre1"/>
      </w:pPr>
      <w:bookmarkStart w:id="2" w:name="_Toc201735410"/>
      <w:r w:rsidRPr="005A2E65">
        <w:t>1 - Préambule, présentation</w:t>
      </w:r>
      <w:bookmarkEnd w:id="2"/>
    </w:p>
    <w:p w14:paraId="02C9CC63" w14:textId="77777777" w:rsidR="00B6684F" w:rsidRDefault="00B6684F" w:rsidP="000D20AF"/>
    <w:p w14:paraId="549EF26B" w14:textId="77777777" w:rsidR="005A2E65" w:rsidRDefault="005A2E65" w:rsidP="005A2E65">
      <w:r>
        <w:t>La blanchisserie du CHU de Clermont-Ferrand a été ouverte en mars 2008.</w:t>
      </w:r>
    </w:p>
    <w:p w14:paraId="70C6D0C1" w14:textId="77777777" w:rsidR="005A2E65" w:rsidRDefault="005A2E65" w:rsidP="005A2E65">
      <w:r>
        <w:t>L’ensemble contractuel fondant la blanchisserie est constitué de deux contrats indissociables :</w:t>
      </w:r>
    </w:p>
    <w:p w14:paraId="16436CCF" w14:textId="77777777" w:rsidR="005A2E65" w:rsidRDefault="005A2E65" w:rsidP="005A2E65">
      <w:pPr>
        <w:pStyle w:val="Paragraphedeliste"/>
        <w:numPr>
          <w:ilvl w:val="0"/>
          <w:numId w:val="17"/>
        </w:numPr>
      </w:pPr>
      <w:r>
        <w:t>Un bail emphytéotique qui met à disposition du preneur les éléments fonciers nécessaires à la réalisation de l’opération.</w:t>
      </w:r>
    </w:p>
    <w:p w14:paraId="33B1FBDF" w14:textId="77777777" w:rsidR="005A2E65" w:rsidRDefault="005A2E65" w:rsidP="005A2E65">
      <w:pPr>
        <w:pStyle w:val="Paragraphedeliste"/>
        <w:numPr>
          <w:ilvl w:val="0"/>
          <w:numId w:val="17"/>
        </w:numPr>
      </w:pPr>
      <w:r>
        <w:t>Une convention de mise à disposition qui confie au preneur la mission d’entretenir et maintenir les installations de blanchisserie construites en application du bail.</w:t>
      </w:r>
    </w:p>
    <w:p w14:paraId="4E18561B" w14:textId="77777777" w:rsidR="005A2E65" w:rsidRDefault="005A2E65" w:rsidP="005A2E65"/>
    <w:p w14:paraId="16AC1736" w14:textId="77777777" w:rsidR="005A2E65" w:rsidRDefault="005A2E65" w:rsidP="005A2E65">
      <w:r>
        <w:t xml:space="preserve">Construite dès l’origine dans une perspective de partenariat territorial, l’activité s’est rapidement étendue, au-delà du seul CHU, à la prise en charge des besoins du CH E. </w:t>
      </w:r>
      <w:proofErr w:type="spellStart"/>
      <w:r>
        <w:t>Clémentel</w:t>
      </w:r>
      <w:proofErr w:type="spellEnd"/>
      <w:r>
        <w:t>, puis du CH de Riom, puis de huit EHPAD du CCAS de la ville de Clermont, et enfin en 2010 du CHS Sainte Marie.</w:t>
      </w:r>
    </w:p>
    <w:p w14:paraId="63033E71" w14:textId="77777777" w:rsidR="005A2E65" w:rsidRDefault="005A2E65" w:rsidP="005A2E65"/>
    <w:p w14:paraId="0E7F6E5D" w14:textId="77777777" w:rsidR="005A2E65" w:rsidRDefault="005A2E65" w:rsidP="005A2E65">
      <w:r>
        <w:t>Afin de doter cette activité d’un cadre juridique adapté le GCS « Blanchisserie interhospitalière du Territoire du Grand Clermont » a été créé par une convention constitutive du 26 mars 2010 (approuvée par l’ARS le 5 aout 2010).</w:t>
      </w:r>
    </w:p>
    <w:p w14:paraId="49B99C2F" w14:textId="77777777" w:rsidR="005A2E65" w:rsidRDefault="005A2E65" w:rsidP="005A2E65"/>
    <w:p w14:paraId="70A98BF7" w14:textId="77777777" w:rsidR="005A2E65" w:rsidRDefault="005A2E65" w:rsidP="005A2E65">
      <w:r>
        <w:t>L’ensemble de ce dispositif prend fin le 26 février 2026.</w:t>
      </w:r>
    </w:p>
    <w:p w14:paraId="336B7B37" w14:textId="77777777" w:rsidR="005A2E65" w:rsidRDefault="005A2E65" w:rsidP="005A2E65"/>
    <w:p w14:paraId="3D62C9D1" w14:textId="77777777" w:rsidR="005A2E65" w:rsidRDefault="005A2E65" w:rsidP="005A2E65">
      <w:r>
        <w:t>A cette échéance, le CHU, déjà propriétaire du terrain, récupère la propriété du bâtiment et le GCS la propriété des installations (équipements).</w:t>
      </w:r>
    </w:p>
    <w:p w14:paraId="01946FEF" w14:textId="77777777" w:rsidR="00B6684F" w:rsidRDefault="00B6684F" w:rsidP="000D20AF"/>
    <w:p w14:paraId="7120FD7A" w14:textId="77777777" w:rsidR="00B6684F" w:rsidRPr="00B6684F" w:rsidRDefault="00B6684F" w:rsidP="000D20AF"/>
    <w:p w14:paraId="7184C0B1" w14:textId="2FA1FF35" w:rsidR="00927B25" w:rsidRPr="00DD2EB0" w:rsidRDefault="0077598A" w:rsidP="005A2E65">
      <w:pPr>
        <w:pStyle w:val="Titre1"/>
      </w:pPr>
      <w:bookmarkStart w:id="3" w:name="_Toc201735411"/>
      <w:r w:rsidRPr="00DD2EB0">
        <w:t>2</w:t>
      </w:r>
      <w:r w:rsidR="00B6684F">
        <w:t xml:space="preserve"> - </w:t>
      </w:r>
      <w:r w:rsidRPr="00DD2EB0">
        <w:t>Dispositions générales du contrat</w:t>
      </w:r>
      <w:bookmarkEnd w:id="3"/>
    </w:p>
    <w:p w14:paraId="7184C0B2" w14:textId="79590600" w:rsidR="00927B25" w:rsidRPr="005A2E65" w:rsidRDefault="0077598A" w:rsidP="005A2E65">
      <w:pPr>
        <w:pStyle w:val="Titre2"/>
      </w:pPr>
      <w:bookmarkStart w:id="4" w:name="_Toc201735412"/>
      <w:r w:rsidRPr="005A2E65">
        <w:t>2.1</w:t>
      </w:r>
      <w:r w:rsidR="00007AB6" w:rsidRPr="005A2E65">
        <w:t xml:space="preserve"> </w:t>
      </w:r>
      <w:r w:rsidRPr="005A2E65">
        <w:t>Objet du contrat</w:t>
      </w:r>
      <w:bookmarkEnd w:id="4"/>
    </w:p>
    <w:p w14:paraId="43B865D7" w14:textId="77777777" w:rsidR="0077598A" w:rsidRDefault="0077598A" w:rsidP="000D20AF"/>
    <w:p w14:paraId="231C8A6A" w14:textId="08FCFCAC" w:rsidR="005A2E65" w:rsidRDefault="005A2E65" w:rsidP="005A2E65">
      <w:r w:rsidRPr="005A2E65">
        <w:t>Les missions consistent en un ensemble de prestations de conduite, d’exploitation d’entretien, et de maintenance, de travaux, de services sur les installations techniques</w:t>
      </w:r>
      <w:r w:rsidR="006358D9">
        <w:t xml:space="preserve">, bâtiments </w:t>
      </w:r>
      <w:r w:rsidRPr="005A2E65">
        <w:t>et locaux, nécessaires au fonctionnement et à l’utilisation de la Blanchisserie du GCS DE LA BLANCHISSERIE INTER HOSPITALIERE DU TERRITOIRE DU GRAND CLERMONT.</w:t>
      </w:r>
    </w:p>
    <w:p w14:paraId="24B55192" w14:textId="77777777" w:rsidR="00A650F2" w:rsidRPr="00DD2EB0" w:rsidRDefault="00A650F2" w:rsidP="000D20AF"/>
    <w:p w14:paraId="7184C0B7" w14:textId="53F0F75D" w:rsidR="00927B25" w:rsidRPr="00DD2EB0" w:rsidRDefault="0077598A" w:rsidP="005A2E65">
      <w:pPr>
        <w:pStyle w:val="Titre2"/>
      </w:pPr>
      <w:bookmarkStart w:id="5" w:name="_Toc201735413"/>
      <w:r w:rsidRPr="00DD2EB0">
        <w:t>2.2</w:t>
      </w:r>
      <w:r w:rsidR="00007AB6">
        <w:t xml:space="preserve"> </w:t>
      </w:r>
      <w:r w:rsidRPr="00DD2EB0">
        <w:t>Décomposition du contrat</w:t>
      </w:r>
      <w:bookmarkEnd w:id="5"/>
    </w:p>
    <w:p w14:paraId="7184C0B8" w14:textId="77777777" w:rsidR="00927B25" w:rsidRDefault="0077598A" w:rsidP="0077598A">
      <w:pPr>
        <w:pStyle w:val="Sansinterligne"/>
        <w:rPr>
          <w:lang w:val="fr-FR"/>
        </w:rPr>
      </w:pPr>
      <w:r w:rsidRPr="00DD2EB0">
        <w:rPr>
          <w:lang w:val="fr-FR"/>
        </w:rPr>
        <w:t>Il n'est pas prévu de décomposition en lots.</w:t>
      </w:r>
    </w:p>
    <w:p w14:paraId="0F8CCEF6" w14:textId="77777777" w:rsidR="0077598A" w:rsidRPr="00DD2EB0" w:rsidRDefault="0077598A" w:rsidP="0077598A">
      <w:pPr>
        <w:pStyle w:val="Sansinterligne"/>
        <w:rPr>
          <w:lang w:val="fr-FR"/>
        </w:rPr>
      </w:pPr>
    </w:p>
    <w:p w14:paraId="7184C0BC" w14:textId="545A9784" w:rsidR="00927B25" w:rsidRPr="00DD2EB0" w:rsidRDefault="0077598A" w:rsidP="005A2E65">
      <w:pPr>
        <w:pStyle w:val="Titre1"/>
      </w:pPr>
      <w:bookmarkStart w:id="6" w:name="_Toc201735414"/>
      <w:r w:rsidRPr="00DD2EB0">
        <w:t>3</w:t>
      </w:r>
      <w:r w:rsidR="00B6684F">
        <w:t xml:space="preserve"> -</w:t>
      </w:r>
      <w:r w:rsidRPr="00DD2EB0">
        <w:t xml:space="preserve"> Conditions d'exécution des prestations</w:t>
      </w:r>
      <w:bookmarkEnd w:id="6"/>
    </w:p>
    <w:p w14:paraId="7184C0BD" w14:textId="77777777" w:rsidR="00927B25" w:rsidRDefault="0077598A" w:rsidP="0077598A">
      <w:pPr>
        <w:pStyle w:val="Sansinterligne"/>
        <w:rPr>
          <w:lang w:val="fr-FR"/>
        </w:rPr>
      </w:pPr>
      <w:r w:rsidRPr="00DD2EB0">
        <w:rPr>
          <w:lang w:val="fr-FR"/>
        </w:rPr>
        <w:t>Les prestations devront être conformes aux stipulations du contrat (les normes et spécifications techniques applicables étant celles en vigueur à la date du contrat).</w:t>
      </w:r>
    </w:p>
    <w:p w14:paraId="0C5E45F5" w14:textId="77777777" w:rsidR="0077598A" w:rsidRPr="00DD2EB0" w:rsidRDefault="0077598A" w:rsidP="0077598A">
      <w:pPr>
        <w:pStyle w:val="Sansinterligne"/>
        <w:rPr>
          <w:lang w:val="fr-FR"/>
        </w:rPr>
      </w:pPr>
    </w:p>
    <w:p w14:paraId="0E21B035" w14:textId="6E6B8E69" w:rsidR="00B85C5E" w:rsidRPr="0077598A" w:rsidRDefault="0077598A" w:rsidP="0077598A">
      <w:pPr>
        <w:pStyle w:val="Sansinterligne"/>
        <w:rPr>
          <w:lang w:val="fr-FR"/>
        </w:rPr>
      </w:pPr>
      <w:r w:rsidRPr="00DD2EB0">
        <w:rPr>
          <w:lang w:val="fr-FR"/>
        </w:rPr>
        <w:t>Adresse d'exécution :</w:t>
      </w:r>
      <w:r w:rsidR="00B85C5E">
        <w:rPr>
          <w:lang w:val="fr-FR"/>
        </w:rPr>
        <w:t xml:space="preserve"> </w:t>
      </w:r>
      <w:r w:rsidR="00B85C5E" w:rsidRPr="00B85C5E">
        <w:rPr>
          <w:lang w:val="fr-FR"/>
        </w:rPr>
        <w:t xml:space="preserve">2 Rue de </w:t>
      </w:r>
      <w:proofErr w:type="spellStart"/>
      <w:r w:rsidR="00B85C5E" w:rsidRPr="00B85C5E">
        <w:rPr>
          <w:lang w:val="fr-FR"/>
        </w:rPr>
        <w:t>Tombadoire</w:t>
      </w:r>
      <w:proofErr w:type="spellEnd"/>
      <w:r w:rsidR="00B85C5E" w:rsidRPr="00B85C5E">
        <w:rPr>
          <w:lang w:val="fr-FR"/>
        </w:rPr>
        <w:t>, 63118 Cébazat</w:t>
      </w:r>
    </w:p>
    <w:p w14:paraId="1B684349" w14:textId="77777777" w:rsidR="002C6B7A" w:rsidRPr="00DD2EB0" w:rsidRDefault="002C6B7A" w:rsidP="000D20AF"/>
    <w:p w14:paraId="7184C0C2" w14:textId="0B9BEEF7" w:rsidR="00927B25" w:rsidRPr="00DD2EB0" w:rsidRDefault="0077598A" w:rsidP="005A2E65">
      <w:pPr>
        <w:pStyle w:val="Titre1"/>
      </w:pPr>
      <w:bookmarkStart w:id="7" w:name="_Toc201735415"/>
      <w:r w:rsidRPr="00DD2EB0">
        <w:t>4</w:t>
      </w:r>
      <w:r w:rsidR="00B6684F">
        <w:t xml:space="preserve"> -</w:t>
      </w:r>
      <w:r w:rsidRPr="00DD2EB0">
        <w:t xml:space="preserve"> Forme du marché public</w:t>
      </w:r>
      <w:bookmarkEnd w:id="7"/>
    </w:p>
    <w:p w14:paraId="7184C0C3" w14:textId="1E49CDD3" w:rsidR="00927B25" w:rsidRPr="00DD2EB0" w:rsidRDefault="0077598A" w:rsidP="0077598A">
      <w:pPr>
        <w:pStyle w:val="Sansinterligne"/>
        <w:rPr>
          <w:lang w:val="fr-FR"/>
        </w:rPr>
      </w:pPr>
      <w:r w:rsidRPr="00DD2EB0">
        <w:rPr>
          <w:lang w:val="fr-FR"/>
        </w:rPr>
        <w:t>Le</w:t>
      </w:r>
      <w:r w:rsidR="0072734A">
        <w:rPr>
          <w:lang w:val="fr-FR"/>
        </w:rPr>
        <w:t xml:space="preserve"> marché est un marché ordinaire comprenant une partie à bons de commandes.</w:t>
      </w:r>
    </w:p>
    <w:p w14:paraId="7184C0C4" w14:textId="2E353C1D" w:rsidR="00927B25" w:rsidRPr="00DD2EB0" w:rsidRDefault="0077598A" w:rsidP="005A2E65">
      <w:pPr>
        <w:pStyle w:val="Titre1"/>
      </w:pPr>
      <w:bookmarkStart w:id="8" w:name="_Toc201735416"/>
      <w:r w:rsidRPr="00DD2EB0">
        <w:lastRenderedPageBreak/>
        <w:t>5</w:t>
      </w:r>
      <w:r w:rsidR="00B6684F">
        <w:t xml:space="preserve"> - </w:t>
      </w:r>
      <w:r w:rsidRPr="00DD2EB0">
        <w:t>Documents contractuels</w:t>
      </w:r>
      <w:bookmarkEnd w:id="8"/>
    </w:p>
    <w:p w14:paraId="7184C0C5" w14:textId="77777777" w:rsidR="00927B25" w:rsidRPr="00DD2EB0" w:rsidRDefault="0077598A" w:rsidP="0077598A">
      <w:pPr>
        <w:pStyle w:val="Sansinterligne"/>
        <w:rPr>
          <w:lang w:val="fr-FR"/>
        </w:rPr>
      </w:pPr>
      <w:r w:rsidRPr="00DD2EB0">
        <w:rPr>
          <w:lang w:val="fr-FR"/>
        </w:rPr>
        <w:t>Les pièces contractuelles du marché public sont les suivantes et, en cas de contradiction entre leurs stipulations, prévalent dans cet ordre de priorité :</w:t>
      </w:r>
    </w:p>
    <w:p w14:paraId="7184C0C6" w14:textId="0F57674F" w:rsidR="00927B25" w:rsidRPr="009F12AF" w:rsidRDefault="009F12AF" w:rsidP="000D20AF">
      <w:pPr>
        <w:pStyle w:val="Paragraphedeliste"/>
        <w:numPr>
          <w:ilvl w:val="0"/>
          <w:numId w:val="15"/>
        </w:numPr>
        <w:rPr>
          <w:lang w:eastAsia="zh-CN"/>
        </w:rPr>
      </w:pPr>
      <w:r w:rsidRPr="009F12AF">
        <w:rPr>
          <w:lang w:eastAsia="zh-CN"/>
        </w:rPr>
        <w:t>L’acte</w:t>
      </w:r>
      <w:r w:rsidR="0077598A" w:rsidRPr="009F12AF">
        <w:rPr>
          <w:lang w:eastAsia="zh-CN"/>
        </w:rPr>
        <w:t xml:space="preserve"> d’engagement (AE)</w:t>
      </w:r>
      <w:r w:rsidR="00A46559">
        <w:rPr>
          <w:lang w:eastAsia="zh-CN"/>
        </w:rPr>
        <w:t>, la DPGF et le BPU</w:t>
      </w:r>
      <w:r w:rsidR="00A46559" w:rsidRPr="009F12AF">
        <w:rPr>
          <w:lang w:eastAsia="zh-CN"/>
        </w:rPr>
        <w:t xml:space="preserve"> ;</w:t>
      </w:r>
    </w:p>
    <w:p w14:paraId="7184C0C7" w14:textId="2B0B1116" w:rsidR="00927B25" w:rsidRPr="009F12AF" w:rsidRDefault="00A46559" w:rsidP="000D20AF">
      <w:pPr>
        <w:pStyle w:val="Paragraphedeliste"/>
        <w:numPr>
          <w:ilvl w:val="0"/>
          <w:numId w:val="15"/>
        </w:numPr>
        <w:rPr>
          <w:lang w:eastAsia="zh-CN"/>
        </w:rPr>
      </w:pPr>
      <w:r w:rsidRPr="009F12AF">
        <w:rPr>
          <w:lang w:eastAsia="zh-CN"/>
        </w:rPr>
        <w:t>Le</w:t>
      </w:r>
      <w:r w:rsidR="0077598A" w:rsidRPr="009F12AF">
        <w:rPr>
          <w:lang w:eastAsia="zh-CN"/>
        </w:rPr>
        <w:t xml:space="preserve"> présent Cahier des Clauses Administratives Particulières (CCAP</w:t>
      </w:r>
      <w:r w:rsidR="006358D9" w:rsidRPr="009F12AF">
        <w:rPr>
          <w:lang w:eastAsia="zh-CN"/>
        </w:rPr>
        <w:t>) ;</w:t>
      </w:r>
    </w:p>
    <w:p w14:paraId="7184C0C8" w14:textId="707A4370" w:rsidR="00927B25" w:rsidRPr="009F12AF" w:rsidRDefault="00A46559" w:rsidP="000D20AF">
      <w:pPr>
        <w:pStyle w:val="Paragraphedeliste"/>
        <w:numPr>
          <w:ilvl w:val="0"/>
          <w:numId w:val="15"/>
        </w:numPr>
        <w:rPr>
          <w:lang w:eastAsia="zh-CN"/>
        </w:rPr>
      </w:pPr>
      <w:r w:rsidRPr="009F12AF">
        <w:rPr>
          <w:lang w:eastAsia="zh-CN"/>
        </w:rPr>
        <w:t>Le</w:t>
      </w:r>
      <w:r w:rsidR="0077598A" w:rsidRPr="009F12AF">
        <w:rPr>
          <w:lang w:eastAsia="zh-CN"/>
        </w:rPr>
        <w:t xml:space="preserve"> Cahier des Clauses Techniques </w:t>
      </w:r>
      <w:r w:rsidR="006358D9" w:rsidRPr="009F12AF">
        <w:rPr>
          <w:lang w:eastAsia="zh-CN"/>
        </w:rPr>
        <w:t xml:space="preserve">Particulières </w:t>
      </w:r>
      <w:r w:rsidR="006358D9">
        <w:rPr>
          <w:lang w:eastAsia="zh-CN"/>
        </w:rPr>
        <w:t xml:space="preserve">(CCTP) </w:t>
      </w:r>
      <w:r w:rsidR="0077598A" w:rsidRPr="009F12AF">
        <w:rPr>
          <w:lang w:eastAsia="zh-CN"/>
        </w:rPr>
        <w:t>et ses annexes ;</w:t>
      </w:r>
    </w:p>
    <w:p w14:paraId="7184C0C9" w14:textId="21F37848" w:rsidR="00927B25" w:rsidRPr="009F12AF" w:rsidRDefault="00A46559" w:rsidP="000D20AF">
      <w:pPr>
        <w:pStyle w:val="Paragraphedeliste"/>
        <w:numPr>
          <w:ilvl w:val="0"/>
          <w:numId w:val="15"/>
        </w:numPr>
        <w:rPr>
          <w:lang w:eastAsia="zh-CN"/>
        </w:rPr>
      </w:pPr>
      <w:r w:rsidRPr="009F12AF">
        <w:rPr>
          <w:lang w:eastAsia="zh-CN"/>
        </w:rPr>
        <w:t>Le</w:t>
      </w:r>
      <w:r w:rsidR="0077598A" w:rsidRPr="009F12AF">
        <w:rPr>
          <w:lang w:eastAsia="zh-CN"/>
        </w:rPr>
        <w:t xml:space="preserve"> Cahier des Clauses Administratives Générales (CCAG) applicables aux marchés publics de fournitures courantes et de services, approuvé par l'arrêté du 31 mars 2021</w:t>
      </w:r>
    </w:p>
    <w:p w14:paraId="7184C0CA" w14:textId="636386D3" w:rsidR="00927B25" w:rsidRPr="009F12AF" w:rsidRDefault="00A46559" w:rsidP="000D20AF">
      <w:pPr>
        <w:pStyle w:val="Paragraphedeliste"/>
        <w:numPr>
          <w:ilvl w:val="0"/>
          <w:numId w:val="15"/>
        </w:numPr>
        <w:rPr>
          <w:lang w:eastAsia="zh-CN"/>
        </w:rPr>
      </w:pPr>
      <w:r w:rsidRPr="009F12AF">
        <w:rPr>
          <w:lang w:eastAsia="zh-CN"/>
        </w:rPr>
        <w:t>L’offre</w:t>
      </w:r>
      <w:r w:rsidR="0077598A" w:rsidRPr="009F12AF">
        <w:rPr>
          <w:lang w:eastAsia="zh-CN"/>
        </w:rPr>
        <w:t xml:space="preserve"> technique du titulaire du marché</w:t>
      </w:r>
    </w:p>
    <w:p w14:paraId="28F816BF" w14:textId="77777777" w:rsidR="0077598A" w:rsidRPr="00DD2EB0" w:rsidRDefault="0077598A" w:rsidP="009F12AF">
      <w:pPr>
        <w:pStyle w:val="Sansinterligne"/>
        <w:rPr>
          <w:lang w:val="fr-FR"/>
        </w:rPr>
      </w:pPr>
    </w:p>
    <w:p w14:paraId="7184C0CD" w14:textId="77777777" w:rsidR="00927B25" w:rsidRPr="00DD2EB0" w:rsidRDefault="0077598A" w:rsidP="0077598A">
      <w:pPr>
        <w:pStyle w:val="Sansinterligne"/>
        <w:rPr>
          <w:lang w:val="fr-FR"/>
        </w:rPr>
      </w:pPr>
      <w:r w:rsidRPr="00DD2EB0">
        <w:rPr>
          <w:lang w:val="fr-FR"/>
        </w:rPr>
        <w:t>Toute clause portée par le titulaire sur les documents annexés à l’acte d’engagement notamment les conditions générales de vente qui serait contradictoire aux dispositions des autres documents contractuels est inopposable au pouvoir adjudicateur.</w:t>
      </w:r>
    </w:p>
    <w:p w14:paraId="7184C0CE" w14:textId="2BF8B998" w:rsidR="00927B25" w:rsidRDefault="0077598A" w:rsidP="0077598A">
      <w:pPr>
        <w:pStyle w:val="Sansinterligne"/>
        <w:rPr>
          <w:lang w:val="fr-FR"/>
        </w:rPr>
      </w:pPr>
      <w:r w:rsidRPr="00DD2EB0">
        <w:rPr>
          <w:lang w:val="fr-FR"/>
        </w:rPr>
        <w:t xml:space="preserve">L'original de chacun de ces documents, conservé dans les archives du Centre Hospitalier Universitaire de </w:t>
      </w:r>
      <w:r w:rsidR="00F7348F">
        <w:rPr>
          <w:lang w:val="fr-FR"/>
        </w:rPr>
        <w:t>Clermont Ferrand</w:t>
      </w:r>
      <w:r w:rsidRPr="00DD2EB0">
        <w:rPr>
          <w:lang w:val="fr-FR"/>
        </w:rPr>
        <w:t>, fait seule foi.</w:t>
      </w:r>
    </w:p>
    <w:p w14:paraId="26493C2A" w14:textId="77777777" w:rsidR="00B85C5E" w:rsidRPr="00DD2EB0" w:rsidRDefault="00B85C5E" w:rsidP="0077598A">
      <w:pPr>
        <w:pStyle w:val="Sansinterligne"/>
        <w:rPr>
          <w:lang w:val="fr-FR"/>
        </w:rPr>
      </w:pPr>
    </w:p>
    <w:p w14:paraId="7184C0D1" w14:textId="6134DF99" w:rsidR="00927B25" w:rsidRPr="00DD2EB0" w:rsidRDefault="0077598A" w:rsidP="005A2E65">
      <w:pPr>
        <w:pStyle w:val="Titre1"/>
      </w:pPr>
      <w:bookmarkStart w:id="9" w:name="_Toc201735417"/>
      <w:r w:rsidRPr="00DD2EB0">
        <w:t>6</w:t>
      </w:r>
      <w:r w:rsidR="00B6684F">
        <w:t xml:space="preserve"> - </w:t>
      </w:r>
      <w:r w:rsidRPr="00DD2EB0">
        <w:t>Engagement du titulaire</w:t>
      </w:r>
      <w:bookmarkEnd w:id="9"/>
    </w:p>
    <w:p w14:paraId="7184C0D2" w14:textId="77777777" w:rsidR="00927B25" w:rsidRDefault="0077598A" w:rsidP="0077598A">
      <w:pPr>
        <w:pStyle w:val="Sansinterligne"/>
        <w:rPr>
          <w:lang w:val="fr-FR"/>
        </w:rPr>
      </w:pPr>
      <w:r w:rsidRPr="00DD2EB0">
        <w:rPr>
          <w:lang w:val="fr-FR"/>
        </w:rPr>
        <w:t>Le titulaire s’engage à exécuter les prestations de maintenance, objet du présent marché, sans dépasser les périodicités maximales exigées dans le CCTP.</w:t>
      </w:r>
    </w:p>
    <w:p w14:paraId="3926CCCB" w14:textId="77777777" w:rsidR="0077598A" w:rsidRPr="00DD2EB0" w:rsidRDefault="0077598A" w:rsidP="0077598A">
      <w:pPr>
        <w:pStyle w:val="Sansinterligne"/>
        <w:rPr>
          <w:lang w:val="fr-FR"/>
        </w:rPr>
      </w:pPr>
    </w:p>
    <w:p w14:paraId="7184C0D3" w14:textId="77777777" w:rsidR="00927B25" w:rsidRDefault="0077598A" w:rsidP="0077598A">
      <w:pPr>
        <w:pStyle w:val="Sansinterligne"/>
        <w:rPr>
          <w:lang w:val="fr-FR"/>
        </w:rPr>
      </w:pPr>
      <w:r w:rsidRPr="00DD2EB0">
        <w:rPr>
          <w:lang w:val="fr-FR"/>
        </w:rPr>
        <w:t>Le titulaire s’engage à exécuter les prestations de maintenance, objet du présent marché, sur les installations décrites dans le CCTP, dans l’état dans lequel elles se trouvent lors de la notification du marché.</w:t>
      </w:r>
    </w:p>
    <w:p w14:paraId="178D4997" w14:textId="77777777" w:rsidR="0077598A" w:rsidRPr="00DD2EB0" w:rsidRDefault="0077598A" w:rsidP="0077598A">
      <w:pPr>
        <w:pStyle w:val="Sansinterligne"/>
        <w:rPr>
          <w:lang w:val="fr-FR"/>
        </w:rPr>
      </w:pPr>
    </w:p>
    <w:p w14:paraId="7184C0D4" w14:textId="77777777" w:rsidR="00927B25" w:rsidRDefault="0077598A" w:rsidP="0077598A">
      <w:pPr>
        <w:pStyle w:val="Sansinterligne"/>
        <w:rPr>
          <w:lang w:val="fr-FR"/>
        </w:rPr>
      </w:pPr>
      <w:r w:rsidRPr="00DD2EB0">
        <w:rPr>
          <w:lang w:val="fr-FR"/>
        </w:rPr>
        <w:t>Le titulaire s’engage être en possession de tous les agréments nécessaires à l’exercice de son activité en rapport avec les prestations objet du présent marché.</w:t>
      </w:r>
    </w:p>
    <w:p w14:paraId="6851B0A5" w14:textId="77777777" w:rsidR="0077598A" w:rsidRPr="00DD2EB0" w:rsidRDefault="0077598A" w:rsidP="0077598A">
      <w:pPr>
        <w:pStyle w:val="Sansinterligne"/>
        <w:rPr>
          <w:lang w:val="fr-FR"/>
        </w:rPr>
      </w:pPr>
    </w:p>
    <w:p w14:paraId="7184C0D5" w14:textId="77777777" w:rsidR="00927B25" w:rsidRDefault="0077598A" w:rsidP="0077598A">
      <w:pPr>
        <w:pStyle w:val="Sansinterligne"/>
        <w:rPr>
          <w:lang w:val="fr-FR"/>
        </w:rPr>
      </w:pPr>
      <w:r w:rsidRPr="00DD2EB0">
        <w:rPr>
          <w:lang w:val="fr-FR"/>
        </w:rPr>
        <w:t>Le titulaire s'engage à conserver une stricte confidentialité sur les informations et données relatives à l'activité de l’établissement auxquelles le titulaire pourrait avoir accès lors de l'exercice des prestations. A cet effet, le titulaire s'engage à ce que l'ensemble de ses collaborateurs soit soumis personnellement à une obligation de confidentialité de même étendue que celle visant le titulaire.</w:t>
      </w:r>
    </w:p>
    <w:p w14:paraId="7D3115E5" w14:textId="77777777" w:rsidR="0077598A" w:rsidRPr="00DD2EB0" w:rsidRDefault="0077598A" w:rsidP="0077598A">
      <w:pPr>
        <w:pStyle w:val="Sansinterligne"/>
        <w:rPr>
          <w:lang w:val="fr-FR"/>
        </w:rPr>
      </w:pPr>
    </w:p>
    <w:p w14:paraId="7184C0D6" w14:textId="77777777" w:rsidR="00927B25" w:rsidRPr="00DD2EB0" w:rsidRDefault="0077598A" w:rsidP="0077598A">
      <w:pPr>
        <w:pStyle w:val="Sansinterligne"/>
        <w:rPr>
          <w:lang w:val="fr-FR"/>
        </w:rPr>
      </w:pPr>
      <w:r w:rsidRPr="00DD2EB0">
        <w:rPr>
          <w:lang w:val="fr-FR"/>
        </w:rPr>
        <w:t>Le titulaire s'engage à ce que ses collaborateurs respectent les consignes et règles de sécurité, hygiène et tenue vestimentaire propres au lieu d'intervention, sous condition que ces consignes et règles aient été données à l'employé par le titulaire préalablement à son intervention.</w:t>
      </w:r>
    </w:p>
    <w:p w14:paraId="7184C0DC" w14:textId="0A6C8D94" w:rsidR="00927B25" w:rsidRPr="00DD2EB0" w:rsidRDefault="00B6684F" w:rsidP="005A2E65">
      <w:pPr>
        <w:pStyle w:val="Titre1"/>
      </w:pPr>
      <w:bookmarkStart w:id="10" w:name="_Toc201735418"/>
      <w:r>
        <w:t xml:space="preserve">7 - </w:t>
      </w:r>
      <w:r w:rsidR="0077598A" w:rsidRPr="00DD2EB0">
        <w:t>Durée et délais d'exécution</w:t>
      </w:r>
      <w:bookmarkEnd w:id="10"/>
    </w:p>
    <w:p w14:paraId="7184C0DD" w14:textId="7F8DD2D8" w:rsidR="00927B25" w:rsidRPr="00DD2EB0" w:rsidRDefault="00B6684F" w:rsidP="005A2E65">
      <w:pPr>
        <w:pStyle w:val="Titre2"/>
      </w:pPr>
      <w:bookmarkStart w:id="11" w:name="_Toc201735419"/>
      <w:r>
        <w:t>7</w:t>
      </w:r>
      <w:r w:rsidR="0077598A" w:rsidRPr="00DD2EB0">
        <w:t>.1</w:t>
      </w:r>
      <w:r w:rsidR="00007AB6">
        <w:t xml:space="preserve"> </w:t>
      </w:r>
      <w:r w:rsidR="0077598A" w:rsidRPr="00DD2EB0">
        <w:t>Durée du contrat</w:t>
      </w:r>
      <w:bookmarkEnd w:id="11"/>
    </w:p>
    <w:p w14:paraId="4EB83604" w14:textId="77777777" w:rsidR="001C7321" w:rsidRDefault="001C7321" w:rsidP="00EE571C">
      <w:pPr>
        <w:pStyle w:val="Sansinterligne"/>
        <w:jc w:val="both"/>
        <w:rPr>
          <w:lang w:val="fr-FR"/>
        </w:rPr>
      </w:pPr>
    </w:p>
    <w:p w14:paraId="25479CFF" w14:textId="1DA8B1FF" w:rsidR="001C7321" w:rsidRPr="006358D9" w:rsidRDefault="001C7321" w:rsidP="00EE571C">
      <w:pPr>
        <w:pStyle w:val="Sansinterligne"/>
        <w:jc w:val="both"/>
        <w:rPr>
          <w:lang w:val="fr-FR"/>
        </w:rPr>
      </w:pPr>
      <w:r w:rsidRPr="006358D9">
        <w:rPr>
          <w:lang w:val="fr-FR"/>
        </w:rPr>
        <w:t>La durée initiale du marché est de 39 mois.</w:t>
      </w:r>
    </w:p>
    <w:p w14:paraId="728835DF" w14:textId="77777777" w:rsidR="001C7321" w:rsidRPr="006358D9" w:rsidRDefault="001C7321" w:rsidP="00EE571C">
      <w:pPr>
        <w:pStyle w:val="Sansinterligne"/>
        <w:jc w:val="both"/>
        <w:rPr>
          <w:lang w:val="fr-FR"/>
        </w:rPr>
      </w:pPr>
    </w:p>
    <w:p w14:paraId="57546382" w14:textId="77777777" w:rsidR="006358D9" w:rsidRPr="006358D9" w:rsidRDefault="001C7321" w:rsidP="00EE571C">
      <w:pPr>
        <w:pStyle w:val="Sansinterligne"/>
        <w:jc w:val="both"/>
        <w:rPr>
          <w:lang w:val="fr-FR"/>
        </w:rPr>
      </w:pPr>
      <w:r w:rsidRPr="006358D9">
        <w:rPr>
          <w:lang w:val="fr-FR"/>
        </w:rPr>
        <w:t>La période de prise en charge de 3 mois se terminera le 26/02/2026</w:t>
      </w:r>
      <w:r w:rsidR="006358D9" w:rsidRPr="006358D9">
        <w:rPr>
          <w:lang w:val="fr-FR"/>
        </w:rPr>
        <w:t>.</w:t>
      </w:r>
    </w:p>
    <w:p w14:paraId="06EEF786" w14:textId="701E63B1" w:rsidR="001C7321" w:rsidRPr="006358D9" w:rsidRDefault="006358D9" w:rsidP="00EE571C">
      <w:pPr>
        <w:pStyle w:val="Sansinterligne"/>
        <w:jc w:val="both"/>
        <w:rPr>
          <w:lang w:val="fr-FR"/>
        </w:rPr>
      </w:pPr>
      <w:r w:rsidRPr="006358D9">
        <w:rPr>
          <w:lang w:val="fr-FR"/>
        </w:rPr>
        <w:t>Les prestations d’exploitation et de</w:t>
      </w:r>
      <w:r w:rsidR="001C7321" w:rsidRPr="006358D9">
        <w:rPr>
          <w:lang w:val="fr-FR"/>
        </w:rPr>
        <w:t xml:space="preserve"> maintenance commencer</w:t>
      </w:r>
      <w:r w:rsidRPr="006358D9">
        <w:rPr>
          <w:lang w:val="fr-FR"/>
        </w:rPr>
        <w:t xml:space="preserve">ont </w:t>
      </w:r>
      <w:r w:rsidR="001C7321" w:rsidRPr="006358D9">
        <w:rPr>
          <w:lang w:val="fr-FR"/>
        </w:rPr>
        <w:t>le 27/02/2026.</w:t>
      </w:r>
    </w:p>
    <w:p w14:paraId="7C94D0F5" w14:textId="77777777" w:rsidR="001C7321" w:rsidRPr="006358D9" w:rsidRDefault="001C7321" w:rsidP="00EE571C">
      <w:pPr>
        <w:pStyle w:val="Sansinterligne"/>
        <w:jc w:val="both"/>
        <w:rPr>
          <w:lang w:val="fr-FR"/>
        </w:rPr>
      </w:pPr>
    </w:p>
    <w:p w14:paraId="7C746F8B" w14:textId="37041B79" w:rsidR="007E65BD" w:rsidRPr="006358D9" w:rsidRDefault="007E65BD" w:rsidP="007E65BD">
      <w:pPr>
        <w:pStyle w:val="Sansinterligne"/>
        <w:jc w:val="both"/>
        <w:rPr>
          <w:lang w:val="fr-FR"/>
        </w:rPr>
      </w:pPr>
      <w:r w:rsidRPr="006358D9">
        <w:rPr>
          <w:lang w:val="fr-FR"/>
        </w:rPr>
        <w:t>Le marché pourra être reconduit 3 fois pour une période de 12 mois par tacite reconduction conformément à l’article R 2112-4 du Code de la commande publique.</w:t>
      </w:r>
    </w:p>
    <w:p w14:paraId="19E8248E" w14:textId="77777777" w:rsidR="007E65BD" w:rsidRPr="006358D9" w:rsidRDefault="007E65BD" w:rsidP="007E65BD">
      <w:pPr>
        <w:pStyle w:val="Sansinterligne"/>
        <w:jc w:val="both"/>
        <w:rPr>
          <w:lang w:val="fr-FR"/>
        </w:rPr>
      </w:pPr>
    </w:p>
    <w:p w14:paraId="3328C77F" w14:textId="3DBC65C7" w:rsidR="007E65BD" w:rsidRPr="006358D9" w:rsidRDefault="007E65BD" w:rsidP="007E65BD">
      <w:pPr>
        <w:pStyle w:val="Sansinterligne"/>
        <w:jc w:val="both"/>
        <w:rPr>
          <w:lang w:val="fr-FR"/>
        </w:rPr>
      </w:pPr>
      <w:r w:rsidRPr="006358D9">
        <w:rPr>
          <w:lang w:val="fr-FR"/>
        </w:rPr>
        <w:lastRenderedPageBreak/>
        <w:t xml:space="preserve">Dans l’hypothèse où le CHU de Clermont Ferrand ne souhaite pas que le marché soit reconduit, un courrier recommandé avec accusé de réception sera </w:t>
      </w:r>
      <w:r w:rsidR="00CE7366">
        <w:rPr>
          <w:lang w:val="fr-FR"/>
        </w:rPr>
        <w:t>adressé au titulaire au moins 6</w:t>
      </w:r>
      <w:r w:rsidRPr="006358D9">
        <w:rPr>
          <w:lang w:val="fr-FR"/>
        </w:rPr>
        <w:t xml:space="preserve"> mois avant la fin de la période en cours.</w:t>
      </w:r>
    </w:p>
    <w:p w14:paraId="12637174" w14:textId="77777777" w:rsidR="0077598A" w:rsidRPr="006358D9" w:rsidRDefault="0077598A" w:rsidP="0077598A">
      <w:pPr>
        <w:pStyle w:val="Sansinterligne"/>
        <w:rPr>
          <w:lang w:val="fr-FR"/>
        </w:rPr>
      </w:pPr>
    </w:p>
    <w:p w14:paraId="7184C0E0" w14:textId="429E88D2" w:rsidR="00927B25" w:rsidRPr="00271D64" w:rsidRDefault="0077598A" w:rsidP="0077598A">
      <w:pPr>
        <w:pStyle w:val="Sansinterligne"/>
        <w:rPr>
          <w:lang w:val="fr-FR"/>
        </w:rPr>
      </w:pPr>
      <w:r w:rsidRPr="00271D64">
        <w:rPr>
          <w:lang w:val="fr-FR"/>
        </w:rPr>
        <w:t xml:space="preserve">En cas de changement de titulaire lors de la relance du présent marché, le titulaire en place s’engage à poursuivre la prestation pendant la phase transitoire de mise en place par le nouveau fournisseur dans les conditions prévues à l’article </w:t>
      </w:r>
      <w:r w:rsidR="00B6684F" w:rsidRPr="00271D64">
        <w:rPr>
          <w:lang w:val="fr-FR"/>
        </w:rPr>
        <w:t>7</w:t>
      </w:r>
      <w:r w:rsidRPr="00271D64">
        <w:rPr>
          <w:lang w:val="fr-FR"/>
        </w:rPr>
        <w:t>.2 du CCAP ci-dessous.</w:t>
      </w:r>
    </w:p>
    <w:p w14:paraId="14B9F5D3" w14:textId="77777777" w:rsidR="0077598A" w:rsidRPr="00271D64" w:rsidRDefault="0077598A" w:rsidP="0077598A">
      <w:pPr>
        <w:pStyle w:val="Sansinterligne"/>
        <w:rPr>
          <w:lang w:val="fr-FR"/>
        </w:rPr>
      </w:pPr>
    </w:p>
    <w:p w14:paraId="7184C0E1" w14:textId="77777777" w:rsidR="00927B25" w:rsidRPr="00271D64" w:rsidRDefault="0077598A" w:rsidP="0077598A">
      <w:pPr>
        <w:pStyle w:val="Sansinterligne"/>
        <w:rPr>
          <w:lang w:val="fr-FR"/>
        </w:rPr>
      </w:pPr>
      <w:r w:rsidRPr="00271D64">
        <w:rPr>
          <w:lang w:val="fr-FR"/>
        </w:rPr>
        <w:t>Le titulaire ne pourra pas refuser la reconduction conformément aux dispositions de l’article R2112-4 du code de la commande publique.</w:t>
      </w:r>
    </w:p>
    <w:p w14:paraId="69CC8410" w14:textId="77777777" w:rsidR="0077598A" w:rsidRPr="00271D64" w:rsidRDefault="0077598A" w:rsidP="0077598A">
      <w:pPr>
        <w:pStyle w:val="Sansinterligne"/>
        <w:rPr>
          <w:lang w:val="fr-FR"/>
        </w:rPr>
      </w:pPr>
    </w:p>
    <w:p w14:paraId="7184C0E2" w14:textId="3CCEEDAA" w:rsidR="00927B25" w:rsidRPr="00DD2EB0" w:rsidRDefault="00B6684F" w:rsidP="005A2E65">
      <w:pPr>
        <w:pStyle w:val="Titre2"/>
      </w:pPr>
      <w:bookmarkStart w:id="12" w:name="_Toc201735420"/>
      <w:r>
        <w:t>7</w:t>
      </w:r>
      <w:r w:rsidR="0077598A" w:rsidRPr="00DD2EB0">
        <w:t>.2</w:t>
      </w:r>
      <w:r w:rsidR="00007AB6">
        <w:t xml:space="preserve"> </w:t>
      </w:r>
      <w:r w:rsidR="0077598A" w:rsidRPr="00DD2EB0">
        <w:t>Phase de transition du marché en cas de changement de titulaire</w:t>
      </w:r>
      <w:bookmarkEnd w:id="12"/>
    </w:p>
    <w:p w14:paraId="7184C0E3" w14:textId="77777777" w:rsidR="00927B25" w:rsidRDefault="0077598A" w:rsidP="0077598A">
      <w:pPr>
        <w:pStyle w:val="Sansinterligne"/>
        <w:rPr>
          <w:lang w:val="fr-FR"/>
        </w:rPr>
      </w:pPr>
      <w:r w:rsidRPr="00DD2EB0">
        <w:rPr>
          <w:lang w:val="fr-FR"/>
        </w:rPr>
        <w:t>Au terme du marché, à la suite de la non-reconduction annuelle ou en cas de résiliation du marché et en cas de changement de prestataire, le Pouvoir Adjudicateur, en application de l’article R.2194-1 du Code de la Commande Publique, pourra décider de la prolongation unilatérale du marché initial afin de permettre la mise en place progressive des prestations par le nouveau prestataire durant la phase transitoire. Cette prolongation ne pourra excéder, à compter du terme du marché initial, la durée de trois mois.</w:t>
      </w:r>
    </w:p>
    <w:p w14:paraId="373F674C" w14:textId="77777777" w:rsidR="0077598A" w:rsidRPr="00DD2EB0" w:rsidRDefault="0077598A" w:rsidP="0077598A">
      <w:pPr>
        <w:pStyle w:val="Sansinterligne"/>
        <w:rPr>
          <w:lang w:val="fr-FR"/>
        </w:rPr>
      </w:pPr>
    </w:p>
    <w:p w14:paraId="7184C0E4" w14:textId="77777777" w:rsidR="00927B25" w:rsidRDefault="0077598A" w:rsidP="0077598A">
      <w:pPr>
        <w:pStyle w:val="Sansinterligne"/>
        <w:rPr>
          <w:spacing w:val="-3"/>
          <w:lang w:val="fr-FR"/>
        </w:rPr>
      </w:pPr>
      <w:r w:rsidRPr="00DD2EB0">
        <w:rPr>
          <w:spacing w:val="-3"/>
          <w:lang w:val="fr-FR"/>
        </w:rPr>
        <w:t>Pendant cette phase transitoire, le titulaire en place s’engage à poursuivre l’approvisionnement et/ou la prestation et à maintenir les derniers prix révisés du contrat initial. Aussi, les prestations seront facturées à l’identique et toutes factures contenant des prix non prévus au contrat initial seront rejetées. Les pénalités prévues à l’article 14 pourront s’appliquer en cas de manquement avéré par le titulaire sortant.</w:t>
      </w:r>
    </w:p>
    <w:p w14:paraId="24A1BAE0" w14:textId="77777777" w:rsidR="0077598A" w:rsidRPr="00DD2EB0" w:rsidRDefault="0077598A" w:rsidP="0077598A">
      <w:pPr>
        <w:pStyle w:val="Sansinterligne"/>
        <w:rPr>
          <w:spacing w:val="-3"/>
          <w:lang w:val="fr-FR"/>
        </w:rPr>
      </w:pPr>
    </w:p>
    <w:p w14:paraId="7184C0E5" w14:textId="62C1F3DD" w:rsidR="00927B25" w:rsidRPr="00DD2EB0" w:rsidRDefault="00B6684F" w:rsidP="005A2E65">
      <w:pPr>
        <w:pStyle w:val="Titre1"/>
      </w:pPr>
      <w:bookmarkStart w:id="13" w:name="_Toc201735421"/>
      <w:r>
        <w:t>8 -</w:t>
      </w:r>
      <w:r w:rsidR="0077598A" w:rsidRPr="00DD2EB0">
        <w:t xml:space="preserve"> Prix</w:t>
      </w:r>
      <w:bookmarkEnd w:id="13"/>
    </w:p>
    <w:p w14:paraId="7184C0E6" w14:textId="4DA38916" w:rsidR="00927B25" w:rsidRDefault="00B6684F" w:rsidP="005A2E65">
      <w:pPr>
        <w:pStyle w:val="Titre2"/>
      </w:pPr>
      <w:bookmarkStart w:id="14" w:name="_Toc201735422"/>
      <w:r>
        <w:t>8</w:t>
      </w:r>
      <w:r w:rsidR="0077598A" w:rsidRPr="00DD2EB0">
        <w:t>.1</w:t>
      </w:r>
      <w:r w:rsidR="00007AB6">
        <w:t xml:space="preserve"> </w:t>
      </w:r>
      <w:r w:rsidR="0077598A" w:rsidRPr="00DD2EB0">
        <w:t>Caractéristiques des prix pratiqués</w:t>
      </w:r>
      <w:bookmarkEnd w:id="14"/>
    </w:p>
    <w:p w14:paraId="69A7D9F2" w14:textId="77777777" w:rsidR="00A223D2" w:rsidRPr="00A223D2" w:rsidRDefault="00A223D2" w:rsidP="000D20AF"/>
    <w:p w14:paraId="7184C0E7" w14:textId="77777777" w:rsidR="00927B25" w:rsidRDefault="0077598A" w:rsidP="0077598A">
      <w:pPr>
        <w:pStyle w:val="Sansinterligne"/>
        <w:rPr>
          <w:lang w:val="fr-FR"/>
        </w:rPr>
      </w:pPr>
      <w:r w:rsidRPr="00DD2EB0">
        <w:rPr>
          <w:lang w:val="fr-FR"/>
        </w:rPr>
        <w:t>Le marché comporte deux types de prestations :</w:t>
      </w:r>
    </w:p>
    <w:p w14:paraId="40ED7D98" w14:textId="77777777" w:rsidR="00A223D2" w:rsidRPr="00DD2EB0" w:rsidRDefault="00A223D2" w:rsidP="0077598A">
      <w:pPr>
        <w:pStyle w:val="Sansinterligne"/>
        <w:rPr>
          <w:lang w:val="fr-FR"/>
        </w:rPr>
      </w:pPr>
    </w:p>
    <w:p w14:paraId="0FF36C9F" w14:textId="77777777" w:rsidR="00BE07A0" w:rsidRDefault="00A223D2" w:rsidP="00A223D2">
      <w:pPr>
        <w:pStyle w:val="Sansinterligne"/>
        <w:numPr>
          <w:ilvl w:val="0"/>
          <w:numId w:val="9"/>
        </w:numPr>
        <w:rPr>
          <w:b/>
          <w:bCs/>
          <w:lang w:val="fr-FR"/>
        </w:rPr>
      </w:pPr>
      <w:r>
        <w:rPr>
          <w:b/>
          <w:bCs/>
          <w:lang w:val="fr-FR"/>
        </w:rPr>
        <w:t>D</w:t>
      </w:r>
      <w:r w:rsidR="0077598A" w:rsidRPr="00A223D2">
        <w:rPr>
          <w:b/>
          <w:bCs/>
          <w:lang w:val="fr-FR"/>
        </w:rPr>
        <w:t>es prestations traitées à prix forfaitaire annuel, tel que prévu dans</w:t>
      </w:r>
      <w:r w:rsidR="00BE07A0">
        <w:rPr>
          <w:b/>
          <w:bCs/>
          <w:lang w:val="fr-FR"/>
        </w:rPr>
        <w:t xml:space="preserve"> la DPGF.</w:t>
      </w:r>
    </w:p>
    <w:p w14:paraId="4A162E84" w14:textId="77777777" w:rsidR="00A223D2" w:rsidRPr="00BE07A0" w:rsidRDefault="00A223D2" w:rsidP="00A223D2">
      <w:pPr>
        <w:pStyle w:val="Sansinterligne"/>
        <w:ind w:left="720"/>
        <w:rPr>
          <w:lang w:val="fr-FR"/>
        </w:rPr>
      </w:pPr>
    </w:p>
    <w:p w14:paraId="7184C0E9" w14:textId="77777777" w:rsidR="00927B25" w:rsidRPr="00DD2EB0" w:rsidRDefault="0077598A" w:rsidP="0077598A">
      <w:pPr>
        <w:pStyle w:val="Sansinterligne"/>
        <w:rPr>
          <w:lang w:val="fr-FR"/>
        </w:rPr>
      </w:pPr>
      <w:r w:rsidRPr="00DD2EB0">
        <w:rPr>
          <w:lang w:val="fr-FR"/>
        </w:rPr>
        <w:t>Ce prix forfaitaire annuel intègre :</w:t>
      </w:r>
    </w:p>
    <w:p w14:paraId="7184C0EA" w14:textId="25ECAA6B" w:rsidR="00927B25" w:rsidRPr="00DD2EB0" w:rsidRDefault="00BE07A0" w:rsidP="00A223D2">
      <w:pPr>
        <w:pStyle w:val="Sansinterligne"/>
        <w:numPr>
          <w:ilvl w:val="0"/>
          <w:numId w:val="9"/>
        </w:numPr>
        <w:rPr>
          <w:lang w:val="fr-FR"/>
        </w:rPr>
      </w:pPr>
      <w:r w:rsidRPr="00DD2EB0">
        <w:rPr>
          <w:lang w:val="fr-FR"/>
        </w:rPr>
        <w:t>La</w:t>
      </w:r>
      <w:r w:rsidR="0077598A" w:rsidRPr="00DD2EB0">
        <w:rPr>
          <w:lang w:val="fr-FR"/>
        </w:rPr>
        <w:t xml:space="preserve"> maintenance préventive et corrective des matériels et installations techniques,</w:t>
      </w:r>
    </w:p>
    <w:p w14:paraId="7184C0EB" w14:textId="136078FC" w:rsidR="00927B25" w:rsidRPr="00DD2EB0" w:rsidRDefault="00BE07A0" w:rsidP="00A223D2">
      <w:pPr>
        <w:pStyle w:val="Sansinterligne"/>
        <w:numPr>
          <w:ilvl w:val="0"/>
          <w:numId w:val="9"/>
        </w:numPr>
        <w:rPr>
          <w:lang w:val="fr-FR"/>
        </w:rPr>
      </w:pPr>
      <w:r w:rsidRPr="00DD2EB0">
        <w:rPr>
          <w:lang w:val="fr-FR"/>
        </w:rPr>
        <w:t>La</w:t>
      </w:r>
      <w:r w:rsidR="0077598A" w:rsidRPr="00DD2EB0">
        <w:rPr>
          <w:lang w:val="fr-FR"/>
        </w:rPr>
        <w:t xml:space="preserve"> conduite des installations techniques,</w:t>
      </w:r>
    </w:p>
    <w:p w14:paraId="7184C0EC" w14:textId="7112C579" w:rsidR="00927B25" w:rsidRPr="00DD2EB0" w:rsidRDefault="00BE07A0" w:rsidP="00A223D2">
      <w:pPr>
        <w:pStyle w:val="Sansinterligne"/>
        <w:numPr>
          <w:ilvl w:val="0"/>
          <w:numId w:val="9"/>
        </w:numPr>
        <w:rPr>
          <w:lang w:val="fr-FR"/>
        </w:rPr>
      </w:pPr>
      <w:r w:rsidRPr="00DD2EB0">
        <w:rPr>
          <w:lang w:val="fr-FR"/>
        </w:rPr>
        <w:t>Les</w:t>
      </w:r>
      <w:r w:rsidR="0077598A" w:rsidRPr="00DD2EB0">
        <w:rPr>
          <w:lang w:val="fr-FR"/>
        </w:rPr>
        <w:t xml:space="preserve"> consommables tels que décrits au paragraphe</w:t>
      </w:r>
      <w:r>
        <w:rPr>
          <w:lang w:val="fr-FR"/>
        </w:rPr>
        <w:t xml:space="preserve"> 2.5 d</w:t>
      </w:r>
      <w:r w:rsidR="0077598A" w:rsidRPr="00DD2EB0">
        <w:rPr>
          <w:lang w:val="fr-FR"/>
        </w:rPr>
        <w:t>u C.CT.P.</w:t>
      </w:r>
    </w:p>
    <w:p w14:paraId="064571DE" w14:textId="0B0B46CC" w:rsidR="00BE07A0" w:rsidRDefault="0077598A" w:rsidP="00A223D2">
      <w:pPr>
        <w:pStyle w:val="Sansinterligne"/>
        <w:numPr>
          <w:ilvl w:val="0"/>
          <w:numId w:val="9"/>
        </w:numPr>
        <w:rPr>
          <w:lang w:val="fr-FR"/>
        </w:rPr>
      </w:pPr>
      <w:r w:rsidRPr="00DD2EB0">
        <w:rPr>
          <w:lang w:val="fr-FR"/>
        </w:rPr>
        <w:t>Ce prix forfaitaire inclut tous les frais annexes et coût</w:t>
      </w:r>
      <w:r w:rsidR="00BE07A0">
        <w:rPr>
          <w:lang w:val="fr-FR"/>
        </w:rPr>
        <w:t>s</w:t>
      </w:r>
      <w:r w:rsidRPr="00DD2EB0">
        <w:rPr>
          <w:lang w:val="fr-FR"/>
        </w:rPr>
        <w:t xml:space="preserve"> de sous-traitance éventuels nécessaires à la réalisation de cette prestation dans son intégralité (</w:t>
      </w:r>
      <w:r w:rsidR="00BE07A0">
        <w:rPr>
          <w:lang w:val="fr-FR"/>
        </w:rPr>
        <w:t>sauf disposition contraire du CCTP)</w:t>
      </w:r>
    </w:p>
    <w:p w14:paraId="55AF12B7" w14:textId="77777777" w:rsidR="00A223D2" w:rsidRDefault="00A223D2" w:rsidP="0077598A">
      <w:pPr>
        <w:pStyle w:val="Sansinterligne"/>
        <w:rPr>
          <w:lang w:val="fr-FR"/>
        </w:rPr>
      </w:pPr>
    </w:p>
    <w:p w14:paraId="7184C0F0" w14:textId="7F526B5F" w:rsidR="00927B25" w:rsidRDefault="00A223D2" w:rsidP="00A223D2">
      <w:pPr>
        <w:pStyle w:val="Sansinterligne"/>
        <w:numPr>
          <w:ilvl w:val="0"/>
          <w:numId w:val="9"/>
        </w:numPr>
        <w:rPr>
          <w:b/>
          <w:bCs/>
          <w:lang w:val="fr-FR"/>
        </w:rPr>
      </w:pPr>
      <w:r>
        <w:rPr>
          <w:b/>
          <w:bCs/>
          <w:lang w:val="fr-FR"/>
        </w:rPr>
        <w:t>D</w:t>
      </w:r>
      <w:r w:rsidR="0077598A" w:rsidRPr="00A223D2">
        <w:rPr>
          <w:b/>
          <w:bCs/>
          <w:lang w:val="fr-FR"/>
        </w:rPr>
        <w:t>es prestations (intervention hors forfait) et fournitures (pièces détachées) traitées à prix unitaires</w:t>
      </w:r>
      <w:r w:rsidR="0072734A">
        <w:rPr>
          <w:b/>
          <w:bCs/>
          <w:lang w:val="fr-FR"/>
        </w:rPr>
        <w:t xml:space="preserve"> commandées par bons de commande</w:t>
      </w:r>
      <w:r w:rsidR="0077598A" w:rsidRPr="00A223D2">
        <w:rPr>
          <w:b/>
          <w:bCs/>
          <w:lang w:val="fr-FR"/>
        </w:rPr>
        <w:t>, tels que prévus dans l’annexe financière</w:t>
      </w:r>
    </w:p>
    <w:p w14:paraId="27962350" w14:textId="77777777" w:rsidR="00A223D2" w:rsidRDefault="00A223D2" w:rsidP="000D20AF">
      <w:pPr>
        <w:pStyle w:val="Paragraphedeliste"/>
      </w:pPr>
    </w:p>
    <w:p w14:paraId="7184C0F1" w14:textId="29212631" w:rsidR="00927B25" w:rsidRDefault="0077598A" w:rsidP="0077598A">
      <w:pPr>
        <w:pStyle w:val="Sansinterligne"/>
        <w:rPr>
          <w:lang w:val="fr-FR"/>
        </w:rPr>
      </w:pPr>
      <w:r w:rsidRPr="00DD2EB0">
        <w:rPr>
          <w:lang w:val="fr-FR"/>
        </w:rPr>
        <w:t xml:space="preserve">Pour les pièces détachées, le titulaire doit indiquer dans son </w:t>
      </w:r>
      <w:r w:rsidRPr="00BE07A0">
        <w:rPr>
          <w:lang w:val="fr-FR"/>
        </w:rPr>
        <w:t>offre (</w:t>
      </w:r>
      <w:r w:rsidR="00B6684F" w:rsidRPr="00BE07A0">
        <w:rPr>
          <w:lang w:val="fr-FR"/>
        </w:rPr>
        <w:t>BPU</w:t>
      </w:r>
      <w:r w:rsidRPr="00BE07A0">
        <w:rPr>
          <w:lang w:val="fr-FR"/>
        </w:rPr>
        <w:t>)</w:t>
      </w:r>
      <w:r w:rsidRPr="00DD2EB0">
        <w:rPr>
          <w:lang w:val="fr-FR"/>
        </w:rPr>
        <w:t xml:space="preserve"> les coefficients de majoration qui seront appliqués sur le prix des pièces détachées qu’il approvisionne après accord du centre hospitalier </w:t>
      </w:r>
      <w:r w:rsidR="00BE07A0">
        <w:rPr>
          <w:lang w:val="fr-FR"/>
        </w:rPr>
        <w:t xml:space="preserve">ou du GCS selon la nature de la dépense. </w:t>
      </w:r>
      <w:r w:rsidRPr="00DD2EB0">
        <w:rPr>
          <w:lang w:val="fr-FR"/>
        </w:rPr>
        <w:t xml:space="preserve">(Cf. mode opératoire à respecter au paragraphe </w:t>
      </w:r>
      <w:r w:rsidR="00BE07A0">
        <w:rPr>
          <w:lang w:val="fr-FR"/>
        </w:rPr>
        <w:t xml:space="preserve">2.5.3 </w:t>
      </w:r>
      <w:r w:rsidRPr="00DD2EB0">
        <w:rPr>
          <w:lang w:val="fr-FR"/>
        </w:rPr>
        <w:t>du C.C.T.P.).</w:t>
      </w:r>
    </w:p>
    <w:p w14:paraId="7EC8928A" w14:textId="77777777" w:rsidR="00A223D2" w:rsidRPr="00DD2EB0" w:rsidRDefault="00A223D2" w:rsidP="0077598A">
      <w:pPr>
        <w:pStyle w:val="Sansinterligne"/>
        <w:rPr>
          <w:lang w:val="fr-FR"/>
        </w:rPr>
      </w:pPr>
    </w:p>
    <w:p w14:paraId="7184C0F2" w14:textId="77777777" w:rsidR="00927B25" w:rsidRDefault="0077598A" w:rsidP="0077598A">
      <w:pPr>
        <w:pStyle w:val="Sansinterligne"/>
        <w:rPr>
          <w:lang w:val="fr-FR"/>
        </w:rPr>
      </w:pPr>
      <w:r w:rsidRPr="00DD2EB0">
        <w:rPr>
          <w:lang w:val="fr-FR"/>
        </w:rPr>
        <w:t>Le coefficient de majoration est ferme et définitif pour toute la durée du contrat.</w:t>
      </w:r>
    </w:p>
    <w:p w14:paraId="032C6FE4" w14:textId="77777777" w:rsidR="00A223D2" w:rsidRPr="00DD2EB0" w:rsidRDefault="00A223D2" w:rsidP="0077598A">
      <w:pPr>
        <w:pStyle w:val="Sansinterligne"/>
        <w:rPr>
          <w:lang w:val="fr-FR"/>
        </w:rPr>
      </w:pPr>
    </w:p>
    <w:p w14:paraId="7184C0F3" w14:textId="54D3BC90" w:rsidR="00927B25" w:rsidRDefault="0077598A" w:rsidP="0077598A">
      <w:pPr>
        <w:pStyle w:val="Sansinterligne"/>
        <w:rPr>
          <w:lang w:val="fr-FR"/>
        </w:rPr>
      </w:pPr>
      <w:r w:rsidRPr="00DD2EB0">
        <w:rPr>
          <w:lang w:val="fr-FR"/>
        </w:rPr>
        <w:t>Le titulaire devra indiquer dans son offre</w:t>
      </w:r>
      <w:r w:rsidR="00BE07A0">
        <w:rPr>
          <w:lang w:val="fr-FR"/>
        </w:rPr>
        <w:t xml:space="preserve"> (BPU)</w:t>
      </w:r>
      <w:r w:rsidRPr="00DD2EB0">
        <w:rPr>
          <w:lang w:val="fr-FR"/>
        </w:rPr>
        <w:t xml:space="preserve"> le coût horaire main d’œuvre appliqué lors d’interventions réalisées en blanchisserie, non incluses dans le prix global et forfai</w:t>
      </w:r>
      <w:r w:rsidR="00954AF2">
        <w:rPr>
          <w:lang w:val="fr-FR"/>
        </w:rPr>
        <w:t>tai</w:t>
      </w:r>
      <w:r w:rsidRPr="00DD2EB0">
        <w:rPr>
          <w:lang w:val="fr-FR"/>
        </w:rPr>
        <w:t>re.</w:t>
      </w:r>
    </w:p>
    <w:p w14:paraId="0F8FB07E" w14:textId="77777777" w:rsidR="00A223D2" w:rsidRPr="00DD2EB0" w:rsidRDefault="00A223D2" w:rsidP="0077598A">
      <w:pPr>
        <w:pStyle w:val="Sansinterligne"/>
        <w:rPr>
          <w:lang w:val="fr-FR"/>
        </w:rPr>
      </w:pPr>
    </w:p>
    <w:p w14:paraId="7184C0F4" w14:textId="77777777" w:rsidR="00927B25" w:rsidRDefault="0077598A" w:rsidP="0077598A">
      <w:pPr>
        <w:pStyle w:val="Sansinterligne"/>
        <w:rPr>
          <w:lang w:val="fr-FR"/>
        </w:rPr>
      </w:pPr>
      <w:r w:rsidRPr="00DD2EB0">
        <w:rPr>
          <w:lang w:val="fr-FR"/>
        </w:rPr>
        <w:t>Ces interventions hors forfait font systématiquement l’objet d’une commande préalable par le Centre Hospitalier.</w:t>
      </w:r>
    </w:p>
    <w:p w14:paraId="7C5D9B31" w14:textId="2459DD68" w:rsidR="006066F9" w:rsidRDefault="006066F9" w:rsidP="0077598A">
      <w:pPr>
        <w:pStyle w:val="Sansinterligne"/>
        <w:rPr>
          <w:lang w:val="fr-FR"/>
        </w:rPr>
      </w:pPr>
    </w:p>
    <w:p w14:paraId="1A7C287C" w14:textId="5868B8C9" w:rsidR="00014280" w:rsidRPr="00014280" w:rsidRDefault="00014280" w:rsidP="00014280">
      <w:pPr>
        <w:jc w:val="left"/>
        <w:rPr>
          <w:rFonts w:ascii="Arial" w:hAnsi="Arial" w:cs="Arial"/>
          <w:b/>
        </w:rPr>
      </w:pPr>
      <w:r w:rsidRPr="00014280">
        <w:rPr>
          <w:rFonts w:ascii="Arial" w:hAnsi="Arial" w:cs="Arial"/>
          <w:b/>
        </w:rPr>
        <w:t>Montant maximum pour la partie à bons de commande qui débutera à compter du 26/02/2026.</w:t>
      </w:r>
    </w:p>
    <w:p w14:paraId="2829E534" w14:textId="77777777" w:rsidR="00014280" w:rsidRPr="00014280" w:rsidRDefault="00014280" w:rsidP="00014280">
      <w:pPr>
        <w:jc w:val="left"/>
        <w:rPr>
          <w:rFonts w:ascii="Arial" w:hAnsi="Arial" w:cs="Arial"/>
        </w:rPr>
      </w:pPr>
    </w:p>
    <w:tbl>
      <w:tblPr>
        <w:tblStyle w:val="Grilledutableau"/>
        <w:tblW w:w="0" w:type="auto"/>
        <w:tblLook w:val="04A0" w:firstRow="1" w:lastRow="0" w:firstColumn="1" w:lastColumn="0" w:noHBand="0" w:noVBand="1"/>
      </w:tblPr>
      <w:tblGrid>
        <w:gridCol w:w="2014"/>
        <w:gridCol w:w="2410"/>
      </w:tblGrid>
      <w:tr w:rsidR="00014280" w:rsidRPr="00014280" w14:paraId="10888B51" w14:textId="77777777" w:rsidTr="00E213CA">
        <w:tc>
          <w:tcPr>
            <w:tcW w:w="2014" w:type="dxa"/>
          </w:tcPr>
          <w:p w14:paraId="6A4AD2A8" w14:textId="77777777" w:rsidR="00014280" w:rsidRPr="00014280" w:rsidRDefault="00014280" w:rsidP="00014280">
            <w:pPr>
              <w:jc w:val="left"/>
              <w:rPr>
                <w:rFonts w:ascii="Arial" w:hAnsi="Arial" w:cs="Arial"/>
                <w:b/>
              </w:rPr>
            </w:pPr>
            <w:r w:rsidRPr="00014280">
              <w:rPr>
                <w:rFonts w:ascii="Arial" w:hAnsi="Arial" w:cs="Arial"/>
                <w:b/>
              </w:rPr>
              <w:t>Années</w:t>
            </w:r>
          </w:p>
        </w:tc>
        <w:tc>
          <w:tcPr>
            <w:tcW w:w="2410" w:type="dxa"/>
          </w:tcPr>
          <w:p w14:paraId="7E9F762D" w14:textId="77777777" w:rsidR="00014280" w:rsidRPr="00014280" w:rsidRDefault="00014280" w:rsidP="00014280">
            <w:pPr>
              <w:jc w:val="left"/>
              <w:rPr>
                <w:rFonts w:ascii="Arial" w:hAnsi="Arial" w:cs="Arial"/>
                <w:b/>
              </w:rPr>
            </w:pPr>
            <w:r w:rsidRPr="00014280">
              <w:rPr>
                <w:rFonts w:ascii="Arial" w:hAnsi="Arial" w:cs="Arial"/>
                <w:b/>
              </w:rPr>
              <w:t>Montant maximum annuel €HT</w:t>
            </w:r>
          </w:p>
        </w:tc>
      </w:tr>
      <w:tr w:rsidR="00014280" w:rsidRPr="00014280" w14:paraId="2C0B3C7A" w14:textId="77777777" w:rsidTr="00E213CA">
        <w:tc>
          <w:tcPr>
            <w:tcW w:w="2014" w:type="dxa"/>
          </w:tcPr>
          <w:p w14:paraId="61554FD5" w14:textId="77777777" w:rsidR="00014280" w:rsidRPr="00014280" w:rsidRDefault="00014280" w:rsidP="00014280">
            <w:pPr>
              <w:jc w:val="left"/>
              <w:rPr>
                <w:rFonts w:ascii="Arial" w:hAnsi="Arial" w:cs="Arial"/>
              </w:rPr>
            </w:pPr>
            <w:r w:rsidRPr="00014280">
              <w:rPr>
                <w:rFonts w:ascii="Arial" w:hAnsi="Arial" w:cs="Arial"/>
              </w:rPr>
              <w:t>1</w:t>
            </w:r>
          </w:p>
        </w:tc>
        <w:tc>
          <w:tcPr>
            <w:tcW w:w="2410" w:type="dxa"/>
          </w:tcPr>
          <w:p w14:paraId="78520919" w14:textId="77777777" w:rsidR="00014280" w:rsidRPr="00014280" w:rsidRDefault="00014280" w:rsidP="00014280">
            <w:pPr>
              <w:jc w:val="left"/>
              <w:rPr>
                <w:rFonts w:ascii="Arial" w:hAnsi="Arial" w:cs="Arial"/>
              </w:rPr>
            </w:pPr>
            <w:r w:rsidRPr="00014280">
              <w:rPr>
                <w:rFonts w:ascii="Arial" w:hAnsi="Arial" w:cs="Arial"/>
              </w:rPr>
              <w:t>1 000 000</w:t>
            </w:r>
          </w:p>
        </w:tc>
      </w:tr>
      <w:tr w:rsidR="00014280" w:rsidRPr="00014280" w14:paraId="6372D63C" w14:textId="77777777" w:rsidTr="00E213CA">
        <w:tc>
          <w:tcPr>
            <w:tcW w:w="2014" w:type="dxa"/>
          </w:tcPr>
          <w:p w14:paraId="461BD462" w14:textId="77777777" w:rsidR="00014280" w:rsidRPr="00014280" w:rsidRDefault="00014280" w:rsidP="00014280">
            <w:pPr>
              <w:jc w:val="left"/>
              <w:rPr>
                <w:rFonts w:ascii="Arial" w:hAnsi="Arial" w:cs="Arial"/>
              </w:rPr>
            </w:pPr>
            <w:r w:rsidRPr="00014280">
              <w:rPr>
                <w:rFonts w:ascii="Arial" w:hAnsi="Arial" w:cs="Arial"/>
              </w:rPr>
              <w:t>2</w:t>
            </w:r>
          </w:p>
        </w:tc>
        <w:tc>
          <w:tcPr>
            <w:tcW w:w="2410" w:type="dxa"/>
          </w:tcPr>
          <w:p w14:paraId="4F8F85AD" w14:textId="77777777" w:rsidR="00014280" w:rsidRPr="00014280" w:rsidRDefault="00014280" w:rsidP="00014280">
            <w:pPr>
              <w:jc w:val="left"/>
              <w:rPr>
                <w:rFonts w:ascii="Arial" w:hAnsi="Arial" w:cs="Arial"/>
              </w:rPr>
            </w:pPr>
            <w:r w:rsidRPr="00014280">
              <w:rPr>
                <w:rFonts w:ascii="Arial" w:hAnsi="Arial" w:cs="Arial"/>
              </w:rPr>
              <w:t>1 000 000</w:t>
            </w:r>
          </w:p>
        </w:tc>
      </w:tr>
      <w:tr w:rsidR="00014280" w:rsidRPr="00014280" w14:paraId="4B523328" w14:textId="77777777" w:rsidTr="00E213CA">
        <w:tc>
          <w:tcPr>
            <w:tcW w:w="2014" w:type="dxa"/>
          </w:tcPr>
          <w:p w14:paraId="4791A525" w14:textId="77777777" w:rsidR="00014280" w:rsidRPr="00014280" w:rsidRDefault="00014280" w:rsidP="00014280">
            <w:pPr>
              <w:jc w:val="left"/>
              <w:rPr>
                <w:rFonts w:ascii="Arial" w:hAnsi="Arial" w:cs="Arial"/>
              </w:rPr>
            </w:pPr>
            <w:r w:rsidRPr="00014280">
              <w:rPr>
                <w:rFonts w:ascii="Arial" w:hAnsi="Arial" w:cs="Arial"/>
              </w:rPr>
              <w:t>3</w:t>
            </w:r>
          </w:p>
        </w:tc>
        <w:tc>
          <w:tcPr>
            <w:tcW w:w="2410" w:type="dxa"/>
          </w:tcPr>
          <w:p w14:paraId="0129003A" w14:textId="77777777" w:rsidR="00014280" w:rsidRPr="00014280" w:rsidRDefault="00014280" w:rsidP="00014280">
            <w:pPr>
              <w:jc w:val="left"/>
              <w:rPr>
                <w:rFonts w:ascii="Arial" w:hAnsi="Arial" w:cs="Arial"/>
              </w:rPr>
            </w:pPr>
            <w:r w:rsidRPr="00014280">
              <w:rPr>
                <w:rFonts w:ascii="Arial" w:hAnsi="Arial" w:cs="Arial"/>
              </w:rPr>
              <w:t>1 000 000</w:t>
            </w:r>
          </w:p>
        </w:tc>
      </w:tr>
      <w:tr w:rsidR="00014280" w:rsidRPr="00014280" w14:paraId="3E1FCEEB" w14:textId="77777777" w:rsidTr="00E213CA">
        <w:tc>
          <w:tcPr>
            <w:tcW w:w="2014" w:type="dxa"/>
          </w:tcPr>
          <w:p w14:paraId="2B81560B" w14:textId="77777777" w:rsidR="00014280" w:rsidRPr="00014280" w:rsidRDefault="00014280" w:rsidP="00014280">
            <w:pPr>
              <w:jc w:val="left"/>
              <w:rPr>
                <w:rFonts w:ascii="Arial" w:hAnsi="Arial" w:cs="Arial"/>
              </w:rPr>
            </w:pPr>
            <w:r w:rsidRPr="00014280">
              <w:rPr>
                <w:rFonts w:ascii="Arial" w:hAnsi="Arial" w:cs="Arial"/>
              </w:rPr>
              <w:t>4</w:t>
            </w:r>
          </w:p>
        </w:tc>
        <w:tc>
          <w:tcPr>
            <w:tcW w:w="2410" w:type="dxa"/>
          </w:tcPr>
          <w:p w14:paraId="63758202" w14:textId="77777777" w:rsidR="00014280" w:rsidRPr="00014280" w:rsidRDefault="00014280" w:rsidP="00014280">
            <w:pPr>
              <w:jc w:val="left"/>
              <w:rPr>
                <w:rFonts w:ascii="Arial" w:hAnsi="Arial" w:cs="Arial"/>
              </w:rPr>
            </w:pPr>
            <w:r w:rsidRPr="00014280">
              <w:rPr>
                <w:rFonts w:ascii="Arial" w:hAnsi="Arial" w:cs="Arial"/>
              </w:rPr>
              <w:t>1 000 000</w:t>
            </w:r>
          </w:p>
        </w:tc>
      </w:tr>
      <w:tr w:rsidR="00014280" w:rsidRPr="00014280" w14:paraId="6008CFC5" w14:textId="77777777" w:rsidTr="00E213CA">
        <w:tc>
          <w:tcPr>
            <w:tcW w:w="2014" w:type="dxa"/>
          </w:tcPr>
          <w:p w14:paraId="6551E5C9" w14:textId="77777777" w:rsidR="00014280" w:rsidRPr="00014280" w:rsidRDefault="00014280" w:rsidP="00014280">
            <w:pPr>
              <w:jc w:val="left"/>
              <w:rPr>
                <w:rFonts w:ascii="Arial" w:hAnsi="Arial" w:cs="Arial"/>
              </w:rPr>
            </w:pPr>
            <w:r w:rsidRPr="00014280">
              <w:rPr>
                <w:rFonts w:ascii="Arial" w:hAnsi="Arial" w:cs="Arial"/>
              </w:rPr>
              <w:t>5</w:t>
            </w:r>
          </w:p>
        </w:tc>
        <w:tc>
          <w:tcPr>
            <w:tcW w:w="2410" w:type="dxa"/>
          </w:tcPr>
          <w:p w14:paraId="3AE6185A" w14:textId="77777777" w:rsidR="00014280" w:rsidRPr="00014280" w:rsidRDefault="00014280" w:rsidP="00014280">
            <w:pPr>
              <w:jc w:val="left"/>
              <w:rPr>
                <w:rFonts w:ascii="Arial" w:hAnsi="Arial" w:cs="Arial"/>
              </w:rPr>
            </w:pPr>
            <w:r w:rsidRPr="00014280">
              <w:rPr>
                <w:rFonts w:ascii="Arial" w:hAnsi="Arial" w:cs="Arial"/>
              </w:rPr>
              <w:t>1 000 000</w:t>
            </w:r>
          </w:p>
        </w:tc>
      </w:tr>
      <w:tr w:rsidR="00014280" w:rsidRPr="00014280" w14:paraId="7CE61D02" w14:textId="77777777" w:rsidTr="00E213CA">
        <w:tc>
          <w:tcPr>
            <w:tcW w:w="2014" w:type="dxa"/>
          </w:tcPr>
          <w:p w14:paraId="4D17B2C6" w14:textId="77777777" w:rsidR="00014280" w:rsidRPr="00014280" w:rsidRDefault="00014280" w:rsidP="00014280">
            <w:pPr>
              <w:jc w:val="left"/>
              <w:rPr>
                <w:rFonts w:ascii="Arial" w:hAnsi="Arial" w:cs="Arial"/>
              </w:rPr>
            </w:pPr>
            <w:r w:rsidRPr="00014280">
              <w:rPr>
                <w:rFonts w:ascii="Arial" w:hAnsi="Arial" w:cs="Arial"/>
              </w:rPr>
              <w:t>6</w:t>
            </w:r>
          </w:p>
        </w:tc>
        <w:tc>
          <w:tcPr>
            <w:tcW w:w="2410" w:type="dxa"/>
          </w:tcPr>
          <w:p w14:paraId="1ED7F94D" w14:textId="77777777" w:rsidR="00014280" w:rsidRPr="00014280" w:rsidRDefault="00014280" w:rsidP="00014280">
            <w:pPr>
              <w:jc w:val="left"/>
              <w:rPr>
                <w:rFonts w:ascii="Arial" w:hAnsi="Arial" w:cs="Arial"/>
              </w:rPr>
            </w:pPr>
            <w:r w:rsidRPr="00014280">
              <w:rPr>
                <w:rFonts w:ascii="Arial" w:hAnsi="Arial" w:cs="Arial"/>
              </w:rPr>
              <w:t>1 000 000</w:t>
            </w:r>
          </w:p>
        </w:tc>
      </w:tr>
      <w:tr w:rsidR="00014280" w:rsidRPr="00014280" w14:paraId="1B8DFF0F" w14:textId="77777777" w:rsidTr="00E213CA">
        <w:tc>
          <w:tcPr>
            <w:tcW w:w="2014" w:type="dxa"/>
          </w:tcPr>
          <w:p w14:paraId="22F3C6DF" w14:textId="77777777" w:rsidR="00014280" w:rsidRPr="00014280" w:rsidRDefault="00014280" w:rsidP="00014280">
            <w:pPr>
              <w:jc w:val="left"/>
              <w:rPr>
                <w:rFonts w:ascii="Arial" w:hAnsi="Arial" w:cs="Arial"/>
                <w:b/>
              </w:rPr>
            </w:pPr>
            <w:r w:rsidRPr="00014280">
              <w:rPr>
                <w:rFonts w:ascii="Arial" w:hAnsi="Arial" w:cs="Arial"/>
                <w:b/>
              </w:rPr>
              <w:t>Totaux</w:t>
            </w:r>
          </w:p>
        </w:tc>
        <w:tc>
          <w:tcPr>
            <w:tcW w:w="2410" w:type="dxa"/>
          </w:tcPr>
          <w:p w14:paraId="7986D675" w14:textId="77777777" w:rsidR="00014280" w:rsidRPr="00014280" w:rsidRDefault="00014280" w:rsidP="00014280">
            <w:pPr>
              <w:jc w:val="left"/>
              <w:rPr>
                <w:rFonts w:ascii="Arial" w:hAnsi="Arial" w:cs="Arial"/>
                <w:b/>
              </w:rPr>
            </w:pPr>
            <w:r w:rsidRPr="00014280">
              <w:rPr>
                <w:rFonts w:ascii="Arial" w:hAnsi="Arial" w:cs="Arial"/>
                <w:b/>
              </w:rPr>
              <w:t>6 000 000</w:t>
            </w:r>
          </w:p>
        </w:tc>
      </w:tr>
    </w:tbl>
    <w:p w14:paraId="317EA48A" w14:textId="77777777" w:rsidR="00014280" w:rsidRPr="00014280" w:rsidRDefault="00014280" w:rsidP="00014280">
      <w:pPr>
        <w:jc w:val="left"/>
        <w:rPr>
          <w:rFonts w:ascii="Arial" w:hAnsi="Arial" w:cs="Arial"/>
        </w:rPr>
      </w:pPr>
    </w:p>
    <w:p w14:paraId="7184C0F5" w14:textId="3F023FEB" w:rsidR="00927B25" w:rsidRPr="00DD2EB0" w:rsidRDefault="00B6684F" w:rsidP="005A2E65">
      <w:pPr>
        <w:pStyle w:val="Titre2"/>
      </w:pPr>
      <w:bookmarkStart w:id="15" w:name="_Toc201735423"/>
      <w:r>
        <w:t>8</w:t>
      </w:r>
      <w:r w:rsidR="0077598A" w:rsidRPr="00DD2EB0">
        <w:t>.2</w:t>
      </w:r>
      <w:r w:rsidR="00007AB6">
        <w:t xml:space="preserve"> </w:t>
      </w:r>
      <w:r w:rsidR="0077598A" w:rsidRPr="00DD2EB0">
        <w:t>Modalités de variation des prix</w:t>
      </w:r>
      <w:bookmarkEnd w:id="15"/>
    </w:p>
    <w:p w14:paraId="7184C0F6" w14:textId="2D931F83" w:rsidR="00927B25" w:rsidRDefault="0077598A" w:rsidP="0077598A">
      <w:pPr>
        <w:pStyle w:val="Sansinterligne"/>
        <w:rPr>
          <w:lang w:val="fr-FR"/>
        </w:rPr>
      </w:pPr>
      <w:r w:rsidRPr="00DD2EB0">
        <w:rPr>
          <w:lang w:val="fr-FR"/>
        </w:rPr>
        <w:t xml:space="preserve">Les prix sont révisés annuellement, à la date anniversaire du </w:t>
      </w:r>
      <w:r w:rsidRPr="005E1DB9">
        <w:rPr>
          <w:lang w:val="fr-FR"/>
        </w:rPr>
        <w:t>contrat, par</w:t>
      </w:r>
      <w:r w:rsidRPr="00DD2EB0">
        <w:rPr>
          <w:lang w:val="fr-FR"/>
        </w:rPr>
        <w:t xml:space="preserve"> l’une ou l’autre partie, par application aux prix du marché d'un coefficient </w:t>
      </w:r>
      <w:proofErr w:type="spellStart"/>
      <w:r w:rsidRPr="00DD2EB0">
        <w:rPr>
          <w:lang w:val="fr-FR"/>
        </w:rPr>
        <w:t>Cn</w:t>
      </w:r>
      <w:proofErr w:type="spellEnd"/>
      <w:r w:rsidRPr="00DD2EB0">
        <w:rPr>
          <w:lang w:val="fr-FR"/>
        </w:rPr>
        <w:t xml:space="preserve"> donné par la formule</w:t>
      </w:r>
    </w:p>
    <w:p w14:paraId="7A0F415A" w14:textId="77777777" w:rsidR="0077598A" w:rsidRPr="00DD2EB0" w:rsidRDefault="0077598A" w:rsidP="0077598A">
      <w:pPr>
        <w:pStyle w:val="Sansinterligne"/>
        <w:rPr>
          <w:lang w:val="fr-FR"/>
        </w:rPr>
      </w:pPr>
    </w:p>
    <w:p w14:paraId="7184C0F7" w14:textId="77777777" w:rsidR="00927B25" w:rsidRDefault="0077598A" w:rsidP="00A223D2">
      <w:pPr>
        <w:pStyle w:val="Sansinterligne"/>
        <w:jc w:val="center"/>
        <w:rPr>
          <w:spacing w:val="-8"/>
        </w:rPr>
      </w:pPr>
      <w:r w:rsidRPr="00DD2EB0">
        <w:rPr>
          <w:spacing w:val="-8"/>
        </w:rPr>
        <w:t>P = Po {0.15 + 0.85 [(0,80 x ICHT-IME/ICHT-IME</w:t>
      </w:r>
      <w:r w:rsidRPr="00DD2EB0">
        <w:rPr>
          <w:rFonts w:eastAsia="Arial"/>
          <w:spacing w:val="-8"/>
          <w:sz w:val="12"/>
        </w:rPr>
        <w:t>0</w:t>
      </w:r>
      <w:r w:rsidRPr="00DD2EB0">
        <w:rPr>
          <w:spacing w:val="-8"/>
        </w:rPr>
        <w:t>) + (0,20 x FSD1/FSD1</w:t>
      </w:r>
      <w:r w:rsidRPr="00DD2EB0">
        <w:rPr>
          <w:rFonts w:eastAsia="Arial"/>
          <w:spacing w:val="-8"/>
          <w:sz w:val="12"/>
        </w:rPr>
        <w:t>0</w:t>
      </w:r>
      <w:r w:rsidRPr="00DD2EB0">
        <w:rPr>
          <w:spacing w:val="-8"/>
        </w:rPr>
        <w:t>)]}</w:t>
      </w:r>
    </w:p>
    <w:p w14:paraId="71D149FD" w14:textId="77777777" w:rsidR="0077598A" w:rsidRPr="00DD2EB0" w:rsidRDefault="0077598A" w:rsidP="0077598A">
      <w:pPr>
        <w:pStyle w:val="Sansinterligne"/>
        <w:rPr>
          <w:spacing w:val="-8"/>
        </w:rPr>
      </w:pPr>
    </w:p>
    <w:p w14:paraId="7184C0F8" w14:textId="77777777" w:rsidR="00927B25" w:rsidRDefault="0077598A" w:rsidP="0077598A">
      <w:pPr>
        <w:pStyle w:val="Sansinterligne"/>
        <w:rPr>
          <w:lang w:val="fr-FR"/>
        </w:rPr>
      </w:pPr>
      <w:r w:rsidRPr="00DD2EB0">
        <w:rPr>
          <w:lang w:val="fr-FR"/>
        </w:rPr>
        <w:t>Avec :</w:t>
      </w:r>
    </w:p>
    <w:p w14:paraId="69A996C4" w14:textId="77777777" w:rsidR="00A223D2" w:rsidRPr="00DD2EB0" w:rsidRDefault="00A223D2" w:rsidP="0077598A">
      <w:pPr>
        <w:pStyle w:val="Sansinterligne"/>
        <w:rPr>
          <w:lang w:val="fr-FR"/>
        </w:rPr>
      </w:pPr>
    </w:p>
    <w:tbl>
      <w:tblPr>
        <w:tblW w:w="0" w:type="auto"/>
        <w:tblInd w:w="11" w:type="dxa"/>
        <w:tblLayout w:type="fixed"/>
        <w:tblCellMar>
          <w:left w:w="0" w:type="dxa"/>
          <w:right w:w="0" w:type="dxa"/>
        </w:tblCellMar>
        <w:tblLook w:val="04A0" w:firstRow="1" w:lastRow="0" w:firstColumn="1" w:lastColumn="0" w:noHBand="0" w:noVBand="1"/>
      </w:tblPr>
      <w:tblGrid>
        <w:gridCol w:w="1766"/>
        <w:gridCol w:w="7886"/>
      </w:tblGrid>
      <w:tr w:rsidR="00927B25" w:rsidRPr="0061798D" w14:paraId="7184C0FB" w14:textId="77777777">
        <w:trPr>
          <w:trHeight w:hRule="exact" w:val="283"/>
        </w:trPr>
        <w:tc>
          <w:tcPr>
            <w:tcW w:w="1766" w:type="dxa"/>
            <w:tcBorders>
              <w:top w:val="single" w:sz="5" w:space="0" w:color="000000"/>
              <w:left w:val="single" w:sz="5" w:space="0" w:color="000000"/>
              <w:bottom w:val="single" w:sz="5" w:space="0" w:color="000000"/>
              <w:right w:val="single" w:sz="5" w:space="0" w:color="000000"/>
            </w:tcBorders>
            <w:vAlign w:val="center"/>
          </w:tcPr>
          <w:p w14:paraId="7184C0F9" w14:textId="77777777" w:rsidR="00927B25" w:rsidRPr="00DD2EB0" w:rsidRDefault="0077598A" w:rsidP="0077598A">
            <w:pPr>
              <w:pStyle w:val="Sansinterligne"/>
              <w:rPr>
                <w:i/>
                <w:lang w:val="fr-FR"/>
              </w:rPr>
            </w:pPr>
            <w:r w:rsidRPr="00DD2EB0">
              <w:rPr>
                <w:i/>
                <w:lang w:val="fr-FR"/>
              </w:rPr>
              <w:t>P</w:t>
            </w:r>
          </w:p>
        </w:tc>
        <w:tc>
          <w:tcPr>
            <w:tcW w:w="7886" w:type="dxa"/>
            <w:tcBorders>
              <w:top w:val="single" w:sz="5" w:space="0" w:color="000000"/>
              <w:left w:val="single" w:sz="5" w:space="0" w:color="000000"/>
              <w:bottom w:val="single" w:sz="5" w:space="0" w:color="000000"/>
              <w:right w:val="single" w:sz="5" w:space="0" w:color="000000"/>
            </w:tcBorders>
            <w:vAlign w:val="center"/>
          </w:tcPr>
          <w:p w14:paraId="7184C0FA" w14:textId="77777777" w:rsidR="00927B25" w:rsidRPr="00DD2EB0" w:rsidRDefault="0077598A" w:rsidP="0077598A">
            <w:pPr>
              <w:pStyle w:val="Sansinterligne"/>
              <w:rPr>
                <w:lang w:val="fr-FR"/>
              </w:rPr>
            </w:pPr>
            <w:r w:rsidRPr="00DD2EB0">
              <w:rPr>
                <w:lang w:val="fr-FR"/>
              </w:rPr>
              <w:t>montant révisé du prix unitaire du contrat</w:t>
            </w:r>
          </w:p>
        </w:tc>
      </w:tr>
      <w:tr w:rsidR="00927B25" w:rsidRPr="0061798D" w14:paraId="7184C0FE" w14:textId="77777777">
        <w:trPr>
          <w:trHeight w:hRule="exact" w:val="279"/>
        </w:trPr>
        <w:tc>
          <w:tcPr>
            <w:tcW w:w="1766" w:type="dxa"/>
            <w:tcBorders>
              <w:top w:val="single" w:sz="5" w:space="0" w:color="000000"/>
              <w:left w:val="single" w:sz="5" w:space="0" w:color="000000"/>
              <w:bottom w:val="single" w:sz="5" w:space="0" w:color="000000"/>
              <w:right w:val="single" w:sz="5" w:space="0" w:color="000000"/>
            </w:tcBorders>
            <w:vAlign w:val="center"/>
          </w:tcPr>
          <w:p w14:paraId="7184C0FC" w14:textId="77777777" w:rsidR="00927B25" w:rsidRPr="00DD2EB0" w:rsidRDefault="0077598A" w:rsidP="0077598A">
            <w:pPr>
              <w:pStyle w:val="Sansinterligne"/>
              <w:rPr>
                <w:i/>
                <w:lang w:val="fr-FR"/>
              </w:rPr>
            </w:pPr>
            <w:r w:rsidRPr="00DD2EB0">
              <w:rPr>
                <w:i/>
                <w:lang w:val="fr-FR"/>
              </w:rPr>
              <w:t>P</w:t>
            </w:r>
            <w:r w:rsidRPr="00DD2EB0">
              <w:rPr>
                <w:rFonts w:eastAsia="Arial"/>
                <w:i/>
                <w:sz w:val="12"/>
                <w:lang w:val="fr-FR"/>
              </w:rPr>
              <w:t>0</w:t>
            </w:r>
          </w:p>
        </w:tc>
        <w:tc>
          <w:tcPr>
            <w:tcW w:w="7886" w:type="dxa"/>
            <w:tcBorders>
              <w:top w:val="single" w:sz="5" w:space="0" w:color="000000"/>
              <w:left w:val="single" w:sz="5" w:space="0" w:color="000000"/>
              <w:bottom w:val="single" w:sz="5" w:space="0" w:color="000000"/>
              <w:right w:val="single" w:sz="5" w:space="0" w:color="000000"/>
            </w:tcBorders>
            <w:vAlign w:val="center"/>
          </w:tcPr>
          <w:p w14:paraId="7184C0FD" w14:textId="77777777" w:rsidR="00927B25" w:rsidRPr="00DD2EB0" w:rsidRDefault="0077598A" w:rsidP="0077598A">
            <w:pPr>
              <w:pStyle w:val="Sansinterligne"/>
              <w:rPr>
                <w:lang w:val="fr-FR"/>
              </w:rPr>
            </w:pPr>
            <w:r w:rsidRPr="00DD2EB0">
              <w:rPr>
                <w:lang w:val="fr-FR"/>
              </w:rPr>
              <w:t>montant initial du prix unitaire du contrat</w:t>
            </w:r>
          </w:p>
        </w:tc>
      </w:tr>
      <w:tr w:rsidR="00927B25" w:rsidRPr="0061798D" w14:paraId="7184C101" w14:textId="77777777">
        <w:trPr>
          <w:trHeight w:hRule="exact" w:val="283"/>
        </w:trPr>
        <w:tc>
          <w:tcPr>
            <w:tcW w:w="1766" w:type="dxa"/>
            <w:tcBorders>
              <w:top w:val="single" w:sz="5" w:space="0" w:color="000000"/>
              <w:left w:val="single" w:sz="5" w:space="0" w:color="000000"/>
              <w:bottom w:val="single" w:sz="5" w:space="0" w:color="000000"/>
              <w:right w:val="single" w:sz="5" w:space="0" w:color="000000"/>
            </w:tcBorders>
            <w:vAlign w:val="center"/>
          </w:tcPr>
          <w:p w14:paraId="7184C0FF" w14:textId="77777777" w:rsidR="00927B25" w:rsidRPr="00DD2EB0" w:rsidRDefault="0077598A" w:rsidP="0077598A">
            <w:pPr>
              <w:pStyle w:val="Sansinterligne"/>
              <w:rPr>
                <w:i/>
                <w:lang w:val="fr-FR"/>
              </w:rPr>
            </w:pPr>
            <w:r w:rsidRPr="00DD2EB0">
              <w:rPr>
                <w:rFonts w:ascii="Cambria Math" w:hAnsi="Cambria Math" w:cs="Cambria Math"/>
                <w:i/>
                <w:lang w:val="fr-FR"/>
              </w:rPr>
              <w:t>𝐼𝐶𝐻𝑇</w:t>
            </w:r>
            <w:r w:rsidRPr="00DD2EB0">
              <w:rPr>
                <w:i/>
                <w:lang w:val="fr-FR"/>
              </w:rPr>
              <w:t>-</w:t>
            </w:r>
            <w:r w:rsidRPr="00DD2EB0">
              <w:rPr>
                <w:rFonts w:ascii="Cambria Math" w:hAnsi="Cambria Math" w:cs="Cambria Math"/>
                <w:i/>
                <w:lang w:val="fr-FR"/>
              </w:rPr>
              <w:t>𝐼𝑀𝐸</w:t>
            </w:r>
          </w:p>
        </w:tc>
        <w:tc>
          <w:tcPr>
            <w:tcW w:w="7886" w:type="dxa"/>
            <w:tcBorders>
              <w:top w:val="single" w:sz="5" w:space="0" w:color="000000"/>
              <w:left w:val="single" w:sz="5" w:space="0" w:color="000000"/>
              <w:bottom w:val="single" w:sz="5" w:space="0" w:color="000000"/>
              <w:right w:val="single" w:sz="5" w:space="0" w:color="000000"/>
            </w:tcBorders>
            <w:vAlign w:val="center"/>
          </w:tcPr>
          <w:p w14:paraId="7184C100" w14:textId="77777777" w:rsidR="00927B25" w:rsidRPr="00DD2EB0" w:rsidRDefault="0077598A" w:rsidP="0077598A">
            <w:pPr>
              <w:pStyle w:val="Sansinterligne"/>
              <w:rPr>
                <w:lang w:val="fr-FR"/>
              </w:rPr>
            </w:pPr>
            <w:r w:rsidRPr="00DD2EB0">
              <w:rPr>
                <w:lang w:val="fr-FR"/>
              </w:rPr>
              <w:t>indice horaire du coût du travail</w:t>
            </w:r>
          </w:p>
        </w:tc>
      </w:tr>
      <w:tr w:rsidR="00927B25" w:rsidRPr="0061798D" w14:paraId="7184C104" w14:textId="77777777">
        <w:trPr>
          <w:trHeight w:hRule="exact" w:val="278"/>
        </w:trPr>
        <w:tc>
          <w:tcPr>
            <w:tcW w:w="1766" w:type="dxa"/>
            <w:tcBorders>
              <w:top w:val="single" w:sz="5" w:space="0" w:color="000000"/>
              <w:left w:val="single" w:sz="5" w:space="0" w:color="000000"/>
              <w:bottom w:val="single" w:sz="5" w:space="0" w:color="000000"/>
              <w:right w:val="single" w:sz="5" w:space="0" w:color="000000"/>
            </w:tcBorders>
            <w:vAlign w:val="center"/>
          </w:tcPr>
          <w:p w14:paraId="7184C102" w14:textId="77777777" w:rsidR="00927B25" w:rsidRPr="00DD2EB0" w:rsidRDefault="0077598A" w:rsidP="0077598A">
            <w:pPr>
              <w:pStyle w:val="Sansinterligne"/>
              <w:rPr>
                <w:i/>
                <w:lang w:val="fr-FR"/>
              </w:rPr>
            </w:pPr>
            <w:r w:rsidRPr="00DD2EB0">
              <w:rPr>
                <w:rFonts w:ascii="Cambria Math" w:hAnsi="Cambria Math" w:cs="Cambria Math"/>
                <w:i/>
                <w:lang w:val="fr-FR"/>
              </w:rPr>
              <w:t>𝐹𝑆𝐷</w:t>
            </w:r>
            <w:r w:rsidRPr="00DD2EB0">
              <w:rPr>
                <w:i/>
                <w:lang w:val="fr-FR"/>
              </w:rPr>
              <w:t>1</w:t>
            </w:r>
          </w:p>
        </w:tc>
        <w:tc>
          <w:tcPr>
            <w:tcW w:w="7886" w:type="dxa"/>
            <w:tcBorders>
              <w:top w:val="single" w:sz="5" w:space="0" w:color="000000"/>
              <w:left w:val="single" w:sz="5" w:space="0" w:color="000000"/>
              <w:bottom w:val="single" w:sz="5" w:space="0" w:color="000000"/>
              <w:right w:val="single" w:sz="5" w:space="0" w:color="000000"/>
            </w:tcBorders>
            <w:vAlign w:val="center"/>
          </w:tcPr>
          <w:p w14:paraId="7184C103" w14:textId="77777777" w:rsidR="00927B25" w:rsidRPr="00DD2EB0" w:rsidRDefault="0077598A" w:rsidP="0077598A">
            <w:pPr>
              <w:pStyle w:val="Sansinterligne"/>
              <w:rPr>
                <w:lang w:val="fr-FR"/>
              </w:rPr>
            </w:pPr>
            <w:r w:rsidRPr="00DD2EB0">
              <w:rPr>
                <w:lang w:val="fr-FR"/>
              </w:rPr>
              <w:t>Frais et services divers - modèle de référence n°1</w:t>
            </w:r>
          </w:p>
        </w:tc>
      </w:tr>
      <w:tr w:rsidR="00927B25" w:rsidRPr="0061798D" w14:paraId="7184C107" w14:textId="77777777">
        <w:trPr>
          <w:trHeight w:hRule="exact" w:val="547"/>
        </w:trPr>
        <w:tc>
          <w:tcPr>
            <w:tcW w:w="1766" w:type="dxa"/>
            <w:tcBorders>
              <w:top w:val="single" w:sz="5" w:space="0" w:color="000000"/>
              <w:left w:val="single" w:sz="5" w:space="0" w:color="000000"/>
              <w:bottom w:val="single" w:sz="5" w:space="0" w:color="000000"/>
              <w:right w:val="single" w:sz="5" w:space="0" w:color="000000"/>
            </w:tcBorders>
            <w:vAlign w:val="center"/>
          </w:tcPr>
          <w:p w14:paraId="7184C105" w14:textId="77777777" w:rsidR="00927B25" w:rsidRPr="00DD2EB0" w:rsidRDefault="0077598A" w:rsidP="0077598A">
            <w:pPr>
              <w:pStyle w:val="Sansinterligne"/>
              <w:rPr>
                <w:i/>
                <w:lang w:val="fr-FR"/>
              </w:rPr>
            </w:pPr>
            <w:r w:rsidRPr="00DD2EB0">
              <w:rPr>
                <w:i/>
                <w:lang w:val="fr-FR"/>
              </w:rPr>
              <w:t>ICHT-IME</w:t>
            </w:r>
            <w:r w:rsidRPr="00DD2EB0">
              <w:rPr>
                <w:rFonts w:eastAsia="Arial"/>
                <w:i/>
                <w:sz w:val="12"/>
                <w:lang w:val="fr-FR"/>
              </w:rPr>
              <w:t>0</w:t>
            </w:r>
            <w:r w:rsidRPr="00DD2EB0">
              <w:rPr>
                <w:i/>
                <w:lang w:val="fr-FR"/>
              </w:rPr>
              <w:t>, FSD1</w:t>
            </w:r>
            <w:r w:rsidRPr="00DD2EB0">
              <w:rPr>
                <w:rFonts w:eastAsia="Arial"/>
                <w:i/>
                <w:sz w:val="12"/>
                <w:lang w:val="fr-FR"/>
              </w:rPr>
              <w:t>0</w:t>
            </w:r>
          </w:p>
        </w:tc>
        <w:tc>
          <w:tcPr>
            <w:tcW w:w="7886" w:type="dxa"/>
            <w:tcBorders>
              <w:top w:val="single" w:sz="5" w:space="0" w:color="000000"/>
              <w:left w:val="single" w:sz="5" w:space="0" w:color="000000"/>
              <w:bottom w:val="single" w:sz="5" w:space="0" w:color="000000"/>
              <w:right w:val="single" w:sz="5" w:space="0" w:color="000000"/>
            </w:tcBorders>
          </w:tcPr>
          <w:p w14:paraId="7184C106" w14:textId="2E2E36A4" w:rsidR="00927B25" w:rsidRPr="00DD2EB0" w:rsidRDefault="0077598A" w:rsidP="0077598A">
            <w:pPr>
              <w:pStyle w:val="Sansinterligne"/>
              <w:rPr>
                <w:lang w:val="fr-FR"/>
              </w:rPr>
            </w:pPr>
            <w:r w:rsidRPr="00DD2EB0">
              <w:rPr>
                <w:lang w:val="fr-FR"/>
              </w:rPr>
              <w:t>Correspondent aux valeurs publiées par le « Moniteur</w:t>
            </w:r>
            <w:r w:rsidR="005E1DB9">
              <w:rPr>
                <w:lang w:val="fr-FR"/>
              </w:rPr>
              <w:t> »</w:t>
            </w:r>
            <w:r w:rsidRPr="00DD2EB0">
              <w:rPr>
                <w:lang w:val="fr-FR"/>
              </w:rPr>
              <w:t xml:space="preserve"> à la remise des offres</w:t>
            </w:r>
          </w:p>
        </w:tc>
      </w:tr>
      <w:tr w:rsidR="00927B25" w:rsidRPr="0061798D" w14:paraId="7184C10A" w14:textId="77777777">
        <w:trPr>
          <w:trHeight w:hRule="exact" w:val="552"/>
        </w:trPr>
        <w:tc>
          <w:tcPr>
            <w:tcW w:w="1766" w:type="dxa"/>
            <w:tcBorders>
              <w:top w:val="single" w:sz="5" w:space="0" w:color="000000"/>
              <w:left w:val="single" w:sz="5" w:space="0" w:color="000000"/>
              <w:bottom w:val="single" w:sz="5" w:space="0" w:color="000000"/>
              <w:right w:val="single" w:sz="5" w:space="0" w:color="000000"/>
            </w:tcBorders>
            <w:vAlign w:val="center"/>
          </w:tcPr>
          <w:p w14:paraId="7184C108" w14:textId="77777777" w:rsidR="00927B25" w:rsidRPr="00DD2EB0" w:rsidRDefault="0077598A" w:rsidP="0077598A">
            <w:pPr>
              <w:pStyle w:val="Sansinterligne"/>
              <w:rPr>
                <w:i/>
                <w:lang w:val="fr-FR"/>
              </w:rPr>
            </w:pPr>
            <w:r w:rsidRPr="00DD2EB0">
              <w:rPr>
                <w:rFonts w:ascii="Cambria Math" w:hAnsi="Cambria Math" w:cs="Cambria Math"/>
                <w:i/>
                <w:lang w:val="fr-FR"/>
              </w:rPr>
              <w:t>𝐼𝐶𝐻𝑇</w:t>
            </w:r>
            <w:r w:rsidRPr="00DD2EB0">
              <w:rPr>
                <w:i/>
                <w:lang w:val="fr-FR"/>
              </w:rPr>
              <w:t>-</w:t>
            </w:r>
            <w:r w:rsidRPr="00DD2EB0">
              <w:rPr>
                <w:rFonts w:ascii="Cambria Math" w:hAnsi="Cambria Math" w:cs="Cambria Math"/>
                <w:i/>
                <w:lang w:val="fr-FR"/>
              </w:rPr>
              <w:t>𝐼𝑀𝐸</w:t>
            </w:r>
            <w:r w:rsidRPr="00DD2EB0">
              <w:rPr>
                <w:lang w:val="fr-FR"/>
              </w:rPr>
              <w:t xml:space="preserve">, </w:t>
            </w:r>
            <w:r w:rsidRPr="00DD2EB0">
              <w:rPr>
                <w:rFonts w:ascii="Cambria Math" w:hAnsi="Cambria Math" w:cs="Cambria Math"/>
                <w:i/>
                <w:lang w:val="fr-FR"/>
              </w:rPr>
              <w:t>𝐹𝑆𝐷</w:t>
            </w:r>
            <w:r w:rsidRPr="00DD2EB0">
              <w:rPr>
                <w:i/>
                <w:lang w:val="fr-FR"/>
              </w:rPr>
              <w:t>1</w:t>
            </w:r>
          </w:p>
        </w:tc>
        <w:tc>
          <w:tcPr>
            <w:tcW w:w="7886" w:type="dxa"/>
            <w:tcBorders>
              <w:top w:val="single" w:sz="5" w:space="0" w:color="000000"/>
              <w:left w:val="single" w:sz="5" w:space="0" w:color="000000"/>
              <w:bottom w:val="single" w:sz="5" w:space="0" w:color="000000"/>
              <w:right w:val="single" w:sz="5" w:space="0" w:color="000000"/>
            </w:tcBorders>
          </w:tcPr>
          <w:p w14:paraId="7184C109" w14:textId="42F50E4F" w:rsidR="00927B25" w:rsidRPr="00DD2EB0" w:rsidRDefault="0077598A" w:rsidP="0077598A">
            <w:pPr>
              <w:pStyle w:val="Sansinterligne"/>
              <w:rPr>
                <w:lang w:val="fr-FR"/>
              </w:rPr>
            </w:pPr>
            <w:r w:rsidRPr="00DD2EB0">
              <w:rPr>
                <w:lang w:val="fr-FR"/>
              </w:rPr>
              <w:t>Correspondent aux dernières valeurs publiées par le « Moniteur</w:t>
            </w:r>
            <w:r w:rsidR="005E1DB9">
              <w:rPr>
                <w:lang w:val="fr-FR"/>
              </w:rPr>
              <w:t> »</w:t>
            </w:r>
            <w:r w:rsidRPr="00DD2EB0">
              <w:rPr>
                <w:lang w:val="fr-FR"/>
              </w:rPr>
              <w:t xml:space="preserve"> à la date de révision du prix du contrat</w:t>
            </w:r>
          </w:p>
        </w:tc>
      </w:tr>
    </w:tbl>
    <w:p w14:paraId="7184C10B" w14:textId="77777777" w:rsidR="00927B25" w:rsidRPr="00DD2EB0" w:rsidRDefault="00927B25" w:rsidP="0077598A">
      <w:pPr>
        <w:pStyle w:val="Sansinterligne"/>
        <w:rPr>
          <w:lang w:val="fr-FR"/>
        </w:rPr>
      </w:pPr>
    </w:p>
    <w:p w14:paraId="7184C10C" w14:textId="09E3E83F" w:rsidR="00927B25" w:rsidRDefault="0077598A" w:rsidP="0077598A">
      <w:pPr>
        <w:pStyle w:val="Sansinterligne"/>
        <w:rPr>
          <w:lang w:val="fr-FR"/>
        </w:rPr>
      </w:pPr>
      <w:r w:rsidRPr="00DD2EB0">
        <w:rPr>
          <w:lang w:val="fr-FR"/>
        </w:rPr>
        <w:t>La révision définitive des prix interviendra sur le premier acompte suivant la parution de la valeur finale de l'index correspondant.</w:t>
      </w:r>
    </w:p>
    <w:p w14:paraId="4911F0EF" w14:textId="77777777" w:rsidR="00A223D2" w:rsidRPr="00DD2EB0" w:rsidRDefault="00A223D2" w:rsidP="0077598A">
      <w:pPr>
        <w:pStyle w:val="Sansinterligne"/>
        <w:rPr>
          <w:lang w:val="fr-FR"/>
        </w:rPr>
      </w:pPr>
    </w:p>
    <w:p w14:paraId="6937C7E6" w14:textId="77777777" w:rsidR="00A223D2" w:rsidRDefault="0077598A" w:rsidP="0077598A">
      <w:pPr>
        <w:pStyle w:val="Sansinterligne"/>
        <w:rPr>
          <w:lang w:val="fr-FR"/>
        </w:rPr>
      </w:pPr>
      <w:r w:rsidRPr="00DD2EB0">
        <w:rPr>
          <w:lang w:val="fr-FR"/>
        </w:rPr>
        <w:t>Le titulaire notifiera au C.H.U, par lettre recommandée avec accusé de réception, sa proposition de révision au plus tard deux (2) mois avant l’échéance annuelle du marché.</w:t>
      </w:r>
    </w:p>
    <w:p w14:paraId="45C377F5" w14:textId="77777777" w:rsidR="00A223D2" w:rsidRDefault="00A223D2" w:rsidP="0077598A">
      <w:pPr>
        <w:pStyle w:val="Sansinterligne"/>
        <w:rPr>
          <w:lang w:val="fr-FR"/>
        </w:rPr>
      </w:pPr>
    </w:p>
    <w:p w14:paraId="7184C10E" w14:textId="31FD9B33" w:rsidR="00927B25" w:rsidRPr="00DD2EB0" w:rsidRDefault="0077598A" w:rsidP="0077598A">
      <w:pPr>
        <w:pStyle w:val="Sansinterligne"/>
        <w:rPr>
          <w:b/>
          <w:spacing w:val="-6"/>
          <w:w w:val="95"/>
          <w:u w:val="single"/>
          <w:lang w:val="fr-FR"/>
        </w:rPr>
      </w:pPr>
      <w:r w:rsidRPr="00DD2EB0">
        <w:rPr>
          <w:b/>
          <w:spacing w:val="-6"/>
          <w:w w:val="95"/>
          <w:u w:val="single"/>
          <w:lang w:val="fr-FR"/>
        </w:rPr>
        <w:t>Clause de sauvegarde</w:t>
      </w:r>
    </w:p>
    <w:p w14:paraId="7184C10F" w14:textId="39802F10" w:rsidR="00927B25" w:rsidRDefault="0077598A" w:rsidP="0077598A">
      <w:pPr>
        <w:pStyle w:val="Sansinterligne"/>
        <w:rPr>
          <w:lang w:val="fr-FR"/>
        </w:rPr>
      </w:pPr>
      <w:r w:rsidRPr="00DD2EB0">
        <w:rPr>
          <w:lang w:val="fr-FR"/>
        </w:rPr>
        <w:t xml:space="preserve">Si le taux d’augmentation du contrat est supérieur à 5 %, le pouvoir adjudicateur se réserve le droit de rejeter la demande de révision ainsi que le nouveau barème et </w:t>
      </w:r>
      <w:r w:rsidR="00954AF2">
        <w:rPr>
          <w:lang w:val="fr-FR"/>
        </w:rPr>
        <w:t xml:space="preserve">de résilier ou </w:t>
      </w:r>
      <w:r w:rsidRPr="00DD2EB0">
        <w:rPr>
          <w:lang w:val="fr-FR"/>
        </w:rPr>
        <w:t>de ne pas reconduire le marché. Il en informera le titulaire par écrit, celui-ci ne pourra prétendre à une quelconque indemnité.</w:t>
      </w:r>
    </w:p>
    <w:p w14:paraId="2F5F38D0" w14:textId="2EB8148B" w:rsidR="005E1DB9" w:rsidRDefault="005E1DB9" w:rsidP="0077598A">
      <w:pPr>
        <w:pStyle w:val="Sansinterligne"/>
        <w:rPr>
          <w:lang w:val="fr-FR"/>
        </w:rPr>
      </w:pPr>
      <w:r w:rsidRPr="005E1DB9">
        <w:rPr>
          <w:lang w:val="fr-FR"/>
        </w:rPr>
        <w:t>En cas de désaccord, les parties conviennent de se réunir pour le résoudre avant toute décision de résiliation</w:t>
      </w:r>
      <w:r>
        <w:rPr>
          <w:lang w:val="fr-FR"/>
        </w:rPr>
        <w:t>.</w:t>
      </w:r>
    </w:p>
    <w:p w14:paraId="49718466" w14:textId="77777777" w:rsidR="005E1DB9" w:rsidRPr="00DD2EB0" w:rsidRDefault="005E1DB9" w:rsidP="0077598A">
      <w:pPr>
        <w:pStyle w:val="Sansinterligne"/>
        <w:rPr>
          <w:lang w:val="fr-FR"/>
        </w:rPr>
      </w:pPr>
    </w:p>
    <w:p w14:paraId="7184C110" w14:textId="0D9336B7" w:rsidR="00927B25" w:rsidRPr="00DD2EB0" w:rsidRDefault="00B6684F" w:rsidP="005A2E65">
      <w:pPr>
        <w:pStyle w:val="Titre1"/>
      </w:pPr>
      <w:bookmarkStart w:id="16" w:name="_Toc201735424"/>
      <w:r>
        <w:t xml:space="preserve">9 - </w:t>
      </w:r>
      <w:r w:rsidR="0077598A" w:rsidRPr="00DD2EB0">
        <w:t>Garanties Financières</w:t>
      </w:r>
      <w:bookmarkEnd w:id="16"/>
    </w:p>
    <w:p w14:paraId="7184C111" w14:textId="77777777" w:rsidR="00927B25" w:rsidRPr="00DD2EB0" w:rsidRDefault="0077598A" w:rsidP="0077598A">
      <w:pPr>
        <w:pStyle w:val="Sansinterligne"/>
        <w:rPr>
          <w:lang w:val="fr-FR"/>
        </w:rPr>
      </w:pPr>
      <w:r w:rsidRPr="00DD2EB0">
        <w:rPr>
          <w:lang w:val="fr-FR"/>
        </w:rPr>
        <w:t>Aucune clause de garantie financière ne sera appliquée.</w:t>
      </w:r>
    </w:p>
    <w:p w14:paraId="7184C114" w14:textId="5E67B5BC" w:rsidR="00927B25" w:rsidRPr="00DD2EB0" w:rsidRDefault="0077598A" w:rsidP="005A2E65">
      <w:pPr>
        <w:pStyle w:val="Titre1"/>
      </w:pPr>
      <w:bookmarkStart w:id="17" w:name="_Toc201735425"/>
      <w:r w:rsidRPr="00DD2EB0">
        <w:lastRenderedPageBreak/>
        <w:t>1</w:t>
      </w:r>
      <w:r w:rsidR="00B6684F">
        <w:t>0 -</w:t>
      </w:r>
      <w:r w:rsidRPr="00DD2EB0">
        <w:t xml:space="preserve"> Avance</w:t>
      </w:r>
      <w:bookmarkEnd w:id="17"/>
    </w:p>
    <w:p w14:paraId="7184C115" w14:textId="4C94C83F" w:rsidR="00927B25" w:rsidRPr="00DD2EB0" w:rsidRDefault="0077598A" w:rsidP="005A2E65">
      <w:pPr>
        <w:pStyle w:val="Titre2"/>
      </w:pPr>
      <w:bookmarkStart w:id="18" w:name="_Toc201735426"/>
      <w:r w:rsidRPr="00DD2EB0">
        <w:t>1</w:t>
      </w:r>
      <w:r w:rsidR="00B6684F">
        <w:t>0</w:t>
      </w:r>
      <w:r w:rsidRPr="00DD2EB0">
        <w:t>.1 Conditions de versement et de remboursement</w:t>
      </w:r>
      <w:bookmarkEnd w:id="18"/>
    </w:p>
    <w:p w14:paraId="7184C116" w14:textId="77777777" w:rsidR="00927B25" w:rsidRDefault="0077598A" w:rsidP="0077598A">
      <w:pPr>
        <w:pStyle w:val="Sansinterligne"/>
        <w:rPr>
          <w:lang w:val="fr-FR"/>
        </w:rPr>
      </w:pPr>
      <w:r w:rsidRPr="00DD2EB0">
        <w:rPr>
          <w:lang w:val="fr-FR"/>
        </w:rPr>
        <w:t>Dans le respect des dispositions des articles L2191-2 et R2191-3 à R2191-19 du Code de la Commande Publique, une avance de 5 % (option B du CCAG) est accordée au titulaire, sauf refus de sa part formulé dans l’acte d’engagement.</w:t>
      </w:r>
    </w:p>
    <w:p w14:paraId="45059B0B" w14:textId="77777777" w:rsidR="0077598A" w:rsidRPr="00DD2EB0" w:rsidRDefault="0077598A" w:rsidP="0077598A">
      <w:pPr>
        <w:pStyle w:val="Sansinterligne"/>
        <w:rPr>
          <w:lang w:val="fr-FR"/>
        </w:rPr>
      </w:pPr>
    </w:p>
    <w:p w14:paraId="7184C117" w14:textId="77777777" w:rsidR="00927B25" w:rsidRPr="00DD2EB0" w:rsidRDefault="0077598A" w:rsidP="0077598A">
      <w:pPr>
        <w:pStyle w:val="Sansinterligne"/>
        <w:rPr>
          <w:lang w:val="fr-FR"/>
        </w:rPr>
      </w:pPr>
      <w:r w:rsidRPr="00DD2EB0">
        <w:rPr>
          <w:lang w:val="fr-FR"/>
        </w:rPr>
        <w:t>Le paiement de l'avance intervient sur présentation d'une demande écrite. Son montant ne peut être affecté par la mise en œuvre d'une clause de variation de prix.</w:t>
      </w:r>
    </w:p>
    <w:p w14:paraId="7184C118" w14:textId="77777777" w:rsidR="00927B25" w:rsidRDefault="0077598A" w:rsidP="0077598A">
      <w:pPr>
        <w:pStyle w:val="Sansinterligne"/>
        <w:rPr>
          <w:spacing w:val="-1"/>
          <w:lang w:val="fr-FR"/>
        </w:rPr>
      </w:pPr>
      <w:r w:rsidRPr="00DD2EB0">
        <w:rPr>
          <w:spacing w:val="-1"/>
          <w:lang w:val="fr-FR"/>
        </w:rPr>
        <w:t>Le remboursement s'effectue par précompte sur les sommes dues ultérieurement au titulaire.</w:t>
      </w:r>
    </w:p>
    <w:p w14:paraId="7240D9A0" w14:textId="77777777" w:rsidR="0077598A" w:rsidRPr="00DD2EB0" w:rsidRDefault="0077598A" w:rsidP="0077598A">
      <w:pPr>
        <w:pStyle w:val="Sansinterligne"/>
        <w:rPr>
          <w:spacing w:val="-1"/>
          <w:lang w:val="fr-FR"/>
        </w:rPr>
      </w:pPr>
    </w:p>
    <w:p w14:paraId="7184C119" w14:textId="723AD54A" w:rsidR="00927B25" w:rsidRPr="00DD2EB0" w:rsidRDefault="0077598A" w:rsidP="005A2E65">
      <w:pPr>
        <w:pStyle w:val="Titre2"/>
      </w:pPr>
      <w:bookmarkStart w:id="19" w:name="_Toc201735427"/>
      <w:r w:rsidRPr="00DD2EB0">
        <w:t>1</w:t>
      </w:r>
      <w:r w:rsidR="00B6684F">
        <w:t>0</w:t>
      </w:r>
      <w:r w:rsidRPr="00DD2EB0">
        <w:t>.2 Garanties financières de l'avance</w:t>
      </w:r>
      <w:bookmarkEnd w:id="19"/>
    </w:p>
    <w:p w14:paraId="7184C11A" w14:textId="77777777" w:rsidR="00927B25" w:rsidRDefault="0077598A" w:rsidP="0077598A">
      <w:pPr>
        <w:pStyle w:val="Sansinterligne"/>
        <w:rPr>
          <w:lang w:val="fr-FR"/>
        </w:rPr>
      </w:pPr>
      <w:r w:rsidRPr="00DD2EB0">
        <w:rPr>
          <w:lang w:val="fr-FR"/>
        </w:rPr>
        <w:t>Le titulaire est dispensé de la constitution d’un cautionnement.</w:t>
      </w:r>
    </w:p>
    <w:p w14:paraId="136EFD55" w14:textId="77777777" w:rsidR="0077598A" w:rsidRPr="00DD2EB0" w:rsidRDefault="0077598A" w:rsidP="0077598A">
      <w:pPr>
        <w:pStyle w:val="Sansinterligne"/>
        <w:rPr>
          <w:lang w:val="fr-FR"/>
        </w:rPr>
      </w:pPr>
    </w:p>
    <w:p w14:paraId="157C29F7" w14:textId="44D8D568" w:rsidR="002C6B7A" w:rsidRPr="00DD2EB0" w:rsidRDefault="0077598A" w:rsidP="000D20AF">
      <w:pPr>
        <w:rPr>
          <w:rFonts w:eastAsia="Arial"/>
          <w:b/>
          <w:color w:val="000000"/>
          <w:spacing w:val="-7"/>
          <w:sz w:val="26"/>
        </w:rPr>
      </w:pPr>
      <w:bookmarkStart w:id="20" w:name="_Toc201735428"/>
      <w:r w:rsidRPr="00783399">
        <w:rPr>
          <w:rStyle w:val="Titre1Car"/>
          <w:rFonts w:ascii="Calibri" w:hAnsi="Calibri" w:cs="Calibri"/>
        </w:rPr>
        <w:t>1</w:t>
      </w:r>
      <w:r w:rsidR="00B6684F">
        <w:rPr>
          <w:rStyle w:val="Titre1Car"/>
          <w:rFonts w:ascii="Calibri" w:hAnsi="Calibri" w:cs="Calibri"/>
        </w:rPr>
        <w:t xml:space="preserve">1 - </w:t>
      </w:r>
      <w:r w:rsidRPr="00783399">
        <w:rPr>
          <w:rStyle w:val="Titre1Car"/>
          <w:rFonts w:ascii="Calibri" w:hAnsi="Calibri" w:cs="Calibri"/>
        </w:rPr>
        <w:t>Modalités de règlement des comptes</w:t>
      </w:r>
      <w:bookmarkEnd w:id="20"/>
      <w:r w:rsidRPr="00DD2EB0">
        <w:rPr>
          <w:rFonts w:eastAsia="Arial"/>
          <w:b/>
          <w:color w:val="000000"/>
          <w:spacing w:val="-7"/>
          <w:sz w:val="26"/>
        </w:rPr>
        <w:t xml:space="preserve"> </w:t>
      </w:r>
    </w:p>
    <w:p w14:paraId="7184C11B" w14:textId="3E1C76C9" w:rsidR="00927B25" w:rsidRPr="00DD2EB0" w:rsidRDefault="0077598A" w:rsidP="005A2E65">
      <w:pPr>
        <w:pStyle w:val="Titre2"/>
        <w:rPr>
          <w:rFonts w:eastAsia="Arial"/>
        </w:rPr>
      </w:pPr>
      <w:bookmarkStart w:id="21" w:name="_Toc201735429"/>
      <w:r w:rsidRPr="00DD2EB0">
        <w:t>1</w:t>
      </w:r>
      <w:r w:rsidR="00B6684F">
        <w:t>1</w:t>
      </w:r>
      <w:r w:rsidRPr="00DD2EB0">
        <w:t>.1 Acomptes et paiements partiels définitifs</w:t>
      </w:r>
      <w:bookmarkEnd w:id="21"/>
    </w:p>
    <w:p w14:paraId="7184C11C" w14:textId="77777777" w:rsidR="00927B25" w:rsidRDefault="0077598A" w:rsidP="0077598A">
      <w:pPr>
        <w:pStyle w:val="Sansinterligne"/>
        <w:rPr>
          <w:lang w:val="fr-FR"/>
        </w:rPr>
      </w:pPr>
      <w:r w:rsidRPr="00DD2EB0">
        <w:rPr>
          <w:lang w:val="fr-FR"/>
        </w:rPr>
        <w:t>Les modalités de règlement des acomptes sont définies dans les conditions de l'article 11 du CCAG-FCS. La périodicité des acomptes est fixée au trimestre échu.</w:t>
      </w:r>
    </w:p>
    <w:p w14:paraId="47A10098" w14:textId="77777777" w:rsidR="0077598A" w:rsidRPr="00DD2EB0" w:rsidRDefault="0077598A" w:rsidP="0077598A">
      <w:pPr>
        <w:pStyle w:val="Sansinterligne"/>
        <w:rPr>
          <w:lang w:val="fr-FR"/>
        </w:rPr>
      </w:pPr>
    </w:p>
    <w:p w14:paraId="7184C11D" w14:textId="295BC6C3" w:rsidR="00927B25" w:rsidRPr="00DD2EB0" w:rsidRDefault="0077598A" w:rsidP="005A2E65">
      <w:pPr>
        <w:pStyle w:val="Titre2"/>
      </w:pPr>
      <w:bookmarkStart w:id="22" w:name="_Toc201735430"/>
      <w:r w:rsidRPr="00DD2EB0">
        <w:t>1</w:t>
      </w:r>
      <w:r w:rsidR="00B6684F">
        <w:t>1</w:t>
      </w:r>
      <w:r w:rsidRPr="00DD2EB0">
        <w:t>.2 Présentation des demandes de paiement</w:t>
      </w:r>
      <w:bookmarkEnd w:id="22"/>
    </w:p>
    <w:p w14:paraId="7184C11E" w14:textId="77777777" w:rsidR="00927B25" w:rsidRDefault="0077598A" w:rsidP="0077598A">
      <w:pPr>
        <w:pStyle w:val="Sansinterligne"/>
        <w:rPr>
          <w:lang w:val="fr-FR"/>
        </w:rPr>
      </w:pPr>
      <w:r w:rsidRPr="00DD2EB0">
        <w:rPr>
          <w:lang w:val="fr-FR"/>
        </w:rPr>
        <w:t>Outre les mentions légales, les factures établies par le titulaire et le(s) sous-traitant(s) admis au paiement direct, comportent obligatoirement les mentions suivantes :</w:t>
      </w:r>
    </w:p>
    <w:p w14:paraId="6490E5DA" w14:textId="77777777" w:rsidR="00A223D2" w:rsidRPr="00DD2EB0" w:rsidRDefault="00A223D2" w:rsidP="0077598A">
      <w:pPr>
        <w:pStyle w:val="Sansinterligne"/>
        <w:rPr>
          <w:lang w:val="fr-FR"/>
        </w:rPr>
      </w:pPr>
    </w:p>
    <w:p w14:paraId="7184C11F" w14:textId="440AE650" w:rsidR="00927B25" w:rsidRPr="000D20AF" w:rsidRDefault="0077598A" w:rsidP="000D20AF">
      <w:pPr>
        <w:pStyle w:val="Sansinterligne"/>
        <w:numPr>
          <w:ilvl w:val="0"/>
          <w:numId w:val="9"/>
        </w:numPr>
        <w:rPr>
          <w:lang w:val="fr-FR"/>
        </w:rPr>
      </w:pPr>
      <w:r w:rsidRPr="000D20AF">
        <w:rPr>
          <w:lang w:val="fr-FR"/>
        </w:rPr>
        <w:t>La date d’émission de la facture ;</w:t>
      </w:r>
    </w:p>
    <w:p w14:paraId="7184C120" w14:textId="713265A6" w:rsidR="00927B25" w:rsidRPr="000D20AF" w:rsidRDefault="0077598A" w:rsidP="000D20AF">
      <w:pPr>
        <w:pStyle w:val="Sansinterligne"/>
        <w:numPr>
          <w:ilvl w:val="0"/>
          <w:numId w:val="9"/>
        </w:numPr>
        <w:rPr>
          <w:lang w:val="fr-FR"/>
        </w:rPr>
      </w:pPr>
      <w:r w:rsidRPr="000D20AF">
        <w:rPr>
          <w:lang w:val="fr-FR"/>
        </w:rPr>
        <w:t>La désignation du titulaire (nom ou raison sociale, adresse complète, numéro de SIRET)</w:t>
      </w:r>
    </w:p>
    <w:p w14:paraId="7184C121" w14:textId="3572824C" w:rsidR="00927B25" w:rsidRPr="000D20AF" w:rsidRDefault="0077598A" w:rsidP="000D20AF">
      <w:pPr>
        <w:pStyle w:val="Sansinterligne"/>
        <w:numPr>
          <w:ilvl w:val="0"/>
          <w:numId w:val="9"/>
        </w:numPr>
        <w:rPr>
          <w:lang w:val="fr-FR"/>
        </w:rPr>
      </w:pPr>
      <w:r w:rsidRPr="000D20AF">
        <w:rPr>
          <w:lang w:val="fr-FR"/>
        </w:rPr>
        <w:t>La désignation du destinataire de la facture (nom et numéro SIRET) avec l’indication du code d'identification du service en charge du paiement</w:t>
      </w:r>
    </w:p>
    <w:p w14:paraId="7184C122" w14:textId="04FD7428" w:rsidR="00927B25" w:rsidRPr="000D20AF" w:rsidRDefault="0077598A" w:rsidP="000D20AF">
      <w:pPr>
        <w:pStyle w:val="Sansinterligne"/>
        <w:numPr>
          <w:ilvl w:val="0"/>
          <w:numId w:val="9"/>
        </w:numPr>
        <w:rPr>
          <w:lang w:val="fr-FR"/>
        </w:rPr>
      </w:pPr>
      <w:r w:rsidRPr="000D20AF">
        <w:rPr>
          <w:lang w:val="fr-FR"/>
        </w:rPr>
        <w:t>Le numéro de la facture : numéro unique basé sur une séquence chronologique et continue établie par l'émetteur de la facture, la numérotation pouvant être établie dans ces conditions sur une ou plusieurs séries</w:t>
      </w:r>
    </w:p>
    <w:p w14:paraId="7184C123" w14:textId="0A5DCE25" w:rsidR="00927B25" w:rsidRPr="000D20AF" w:rsidRDefault="0077598A" w:rsidP="000D20AF">
      <w:pPr>
        <w:pStyle w:val="Sansinterligne"/>
        <w:numPr>
          <w:ilvl w:val="0"/>
          <w:numId w:val="9"/>
        </w:numPr>
        <w:rPr>
          <w:lang w:val="fr-FR"/>
        </w:rPr>
      </w:pPr>
      <w:r w:rsidRPr="000D20AF">
        <w:rPr>
          <w:lang w:val="fr-FR"/>
        </w:rPr>
        <w:t>Le numéro du marché</w:t>
      </w:r>
    </w:p>
    <w:p w14:paraId="7184C124" w14:textId="4BBA09FA" w:rsidR="00927B25" w:rsidRPr="000D20AF" w:rsidRDefault="0077598A" w:rsidP="000D20AF">
      <w:pPr>
        <w:pStyle w:val="Sansinterligne"/>
        <w:numPr>
          <w:ilvl w:val="0"/>
          <w:numId w:val="9"/>
        </w:numPr>
        <w:rPr>
          <w:lang w:val="fr-FR"/>
        </w:rPr>
      </w:pPr>
      <w:r w:rsidRPr="000D20AF">
        <w:rPr>
          <w:lang w:val="fr-FR"/>
        </w:rPr>
        <w:t>En cas de marché exécuté au moyen de bons de commande, le numéro du bon de commande ou, dans les autres cas, le numéro de l'engagement généré par le système d'information financière et comptable de l'entité publique ;</w:t>
      </w:r>
    </w:p>
    <w:p w14:paraId="7184C125" w14:textId="3B1D9FED" w:rsidR="00927B25" w:rsidRPr="000D20AF" w:rsidRDefault="0077598A" w:rsidP="000D20AF">
      <w:pPr>
        <w:pStyle w:val="Sansinterligne"/>
        <w:numPr>
          <w:ilvl w:val="0"/>
          <w:numId w:val="9"/>
        </w:numPr>
        <w:rPr>
          <w:lang w:val="fr-FR"/>
        </w:rPr>
      </w:pPr>
      <w:r w:rsidRPr="000D20AF">
        <w:rPr>
          <w:lang w:val="fr-FR"/>
        </w:rPr>
        <w:t>La date de livraison des fournitures ou d'exécution des services ou des travaux ;</w:t>
      </w:r>
    </w:p>
    <w:p w14:paraId="7184C126" w14:textId="7A8D1458" w:rsidR="00927B25" w:rsidRPr="000D20AF" w:rsidRDefault="0077598A" w:rsidP="000D20AF">
      <w:pPr>
        <w:pStyle w:val="Sansinterligne"/>
        <w:numPr>
          <w:ilvl w:val="0"/>
          <w:numId w:val="9"/>
        </w:numPr>
        <w:rPr>
          <w:lang w:val="fr-FR"/>
        </w:rPr>
      </w:pPr>
      <w:r w:rsidRPr="000D20AF">
        <w:rPr>
          <w:lang w:val="fr-FR"/>
        </w:rPr>
        <w:t>La quantité et la dénomination précise des produits livrés, des prestations et travaux réalisés ;</w:t>
      </w:r>
    </w:p>
    <w:p w14:paraId="7184C127" w14:textId="11527E97" w:rsidR="00927B25" w:rsidRPr="000D20AF" w:rsidRDefault="0077598A" w:rsidP="000D20AF">
      <w:pPr>
        <w:pStyle w:val="Sansinterligne"/>
        <w:numPr>
          <w:ilvl w:val="0"/>
          <w:numId w:val="9"/>
        </w:numPr>
        <w:rPr>
          <w:lang w:val="fr-FR"/>
        </w:rPr>
      </w:pPr>
      <w:r w:rsidRPr="000D20AF">
        <w:rPr>
          <w:lang w:val="fr-FR"/>
        </w:rPr>
        <w:t>Le prix unitaire hors taxes des produits livrés, des prestations et travaux réalisés ou, lorsqu'il y a lieu, leur prix forfaitaire ;</w:t>
      </w:r>
    </w:p>
    <w:p w14:paraId="7184C128" w14:textId="62F1C8C0" w:rsidR="00927B25" w:rsidRPr="000D20AF" w:rsidRDefault="0077598A" w:rsidP="000D20AF">
      <w:pPr>
        <w:pStyle w:val="Sansinterligne"/>
        <w:numPr>
          <w:ilvl w:val="0"/>
          <w:numId w:val="9"/>
        </w:numPr>
        <w:rPr>
          <w:lang w:val="fr-FR"/>
        </w:rPr>
      </w:pPr>
      <w:r w:rsidRPr="000D20AF">
        <w:rPr>
          <w:lang w:val="fr-FR"/>
        </w:rPr>
        <w:t>Le montant total de la facture et le montant total hors taxes et le montant de la taxe à payer, ainsi que la répartition de ces montants par taux de taxe sur la valeur ajoutée, ou, le cas échéant, le bénéfice d'une exonération ;</w:t>
      </w:r>
    </w:p>
    <w:p w14:paraId="7184C129" w14:textId="70AF63E9" w:rsidR="00927B25" w:rsidRPr="000D20AF" w:rsidRDefault="0077598A" w:rsidP="000D20AF">
      <w:pPr>
        <w:pStyle w:val="Sansinterligne"/>
        <w:numPr>
          <w:ilvl w:val="0"/>
          <w:numId w:val="9"/>
        </w:numPr>
        <w:rPr>
          <w:lang w:val="fr-FR"/>
        </w:rPr>
      </w:pPr>
      <w:r w:rsidRPr="000D20AF">
        <w:rPr>
          <w:lang w:val="fr-FR"/>
        </w:rPr>
        <w:t>Le cas échéant, les modalités particulières de règlement ;</w:t>
      </w:r>
    </w:p>
    <w:p w14:paraId="7184C12A" w14:textId="1398CCA5" w:rsidR="00927B25" w:rsidRPr="000D20AF" w:rsidRDefault="0077598A" w:rsidP="000D20AF">
      <w:pPr>
        <w:pStyle w:val="Sansinterligne"/>
        <w:numPr>
          <w:ilvl w:val="0"/>
          <w:numId w:val="9"/>
        </w:numPr>
        <w:rPr>
          <w:lang w:val="fr-FR"/>
        </w:rPr>
      </w:pPr>
      <w:r w:rsidRPr="000D20AF">
        <w:rPr>
          <w:lang w:val="fr-FR"/>
        </w:rPr>
        <w:t>Le cas échéant, les renseignements relatifs aux déductions ou versements complémentaires</w:t>
      </w:r>
    </w:p>
    <w:p w14:paraId="7184C12B" w14:textId="77777777" w:rsidR="00927B25" w:rsidRPr="00607FC6" w:rsidRDefault="0077598A" w:rsidP="000D20AF">
      <w:pPr>
        <w:pStyle w:val="Sansinterligne"/>
        <w:numPr>
          <w:ilvl w:val="0"/>
          <w:numId w:val="9"/>
        </w:numPr>
        <w:rPr>
          <w:lang w:val="fr-FR" w:eastAsia="zh-CN"/>
        </w:rPr>
      </w:pPr>
      <w:r w:rsidRPr="000D20AF">
        <w:rPr>
          <w:lang w:val="fr-FR"/>
        </w:rPr>
        <w:t>Conformément à l’article L2192-1 du Code de la commande publique, l’obligation de transmettre les factures sous forme</w:t>
      </w:r>
      <w:r w:rsidRPr="00607FC6">
        <w:rPr>
          <w:lang w:val="fr-FR" w:eastAsia="zh-CN"/>
        </w:rPr>
        <w:t xml:space="preserve"> électronique s’impose à l’ensemble des fournisseurs.</w:t>
      </w:r>
    </w:p>
    <w:p w14:paraId="58D39C99" w14:textId="77777777" w:rsidR="0077598A" w:rsidRPr="00A46559" w:rsidRDefault="0077598A" w:rsidP="000D20AF">
      <w:pPr>
        <w:pStyle w:val="Paragraphedeliste"/>
        <w:rPr>
          <w:lang w:eastAsia="zh-CN"/>
        </w:rPr>
      </w:pPr>
    </w:p>
    <w:p w14:paraId="7184C12E" w14:textId="736DDD67" w:rsidR="00927B25" w:rsidRDefault="0077598A" w:rsidP="0077598A">
      <w:pPr>
        <w:pStyle w:val="Sansinterligne"/>
        <w:rPr>
          <w:lang w:val="fr-FR"/>
        </w:rPr>
      </w:pPr>
      <w:r w:rsidRPr="00DD2EB0">
        <w:rPr>
          <w:lang w:val="fr-FR"/>
        </w:rPr>
        <w:t>La transmission des factures, dans le cadre du présent marché, s’effectue obligatoirement, sur le portail de l’Etat CHORUS PRO.</w:t>
      </w:r>
      <w:r w:rsidRPr="00DD2EB0">
        <w:rPr>
          <w:color w:val="0000FF"/>
          <w:lang w:val="fr-FR"/>
        </w:rPr>
        <w:t xml:space="preserve"> (</w:t>
      </w:r>
      <w:hyperlink r:id="rId10">
        <w:r w:rsidRPr="00DD2EB0">
          <w:rPr>
            <w:color w:val="0000FF"/>
            <w:u w:val="single"/>
            <w:lang w:val="fr-FR"/>
          </w:rPr>
          <w:t>https://chorus-pro.gouv.fr</w:t>
        </w:r>
      </w:hyperlink>
      <w:r w:rsidRPr="00DD2EB0">
        <w:rPr>
          <w:color w:val="0000FF"/>
          <w:lang w:val="fr-FR"/>
        </w:rPr>
        <w:t>).</w:t>
      </w:r>
      <w:r w:rsidRPr="00DD2EB0">
        <w:rPr>
          <w:lang w:val="fr-FR"/>
        </w:rPr>
        <w:t xml:space="preserve"> Pour de plus amples informations, veuillez suivre le lien suivant : </w:t>
      </w:r>
      <w:r w:rsidRPr="00DD2EB0">
        <w:rPr>
          <w:u w:val="single"/>
          <w:lang w:val="fr-FR"/>
        </w:rPr>
        <w:t xml:space="preserve">https://communaute-chorus-pro.finances.gouv.fr/ </w:t>
      </w:r>
      <w:r w:rsidRPr="00DD2EB0">
        <w:rPr>
          <w:lang w:val="fr-FR"/>
        </w:rPr>
        <w:t xml:space="preserve"> </w:t>
      </w:r>
    </w:p>
    <w:p w14:paraId="2EA895A2" w14:textId="77777777" w:rsidR="0077598A" w:rsidRPr="00DD2EB0" w:rsidRDefault="0077598A" w:rsidP="0077598A">
      <w:pPr>
        <w:pStyle w:val="Sansinterligne"/>
        <w:rPr>
          <w:lang w:val="fr-FR"/>
        </w:rPr>
      </w:pPr>
    </w:p>
    <w:p w14:paraId="7184C12F" w14:textId="2ED917C9" w:rsidR="00927B25" w:rsidRDefault="0077598A" w:rsidP="0077598A">
      <w:pPr>
        <w:pStyle w:val="Sansinterligne"/>
        <w:rPr>
          <w:lang w:val="fr-FR"/>
        </w:rPr>
      </w:pPr>
      <w:r w:rsidRPr="00DD2EB0">
        <w:rPr>
          <w:lang w:val="fr-FR"/>
        </w:rPr>
        <w:t xml:space="preserve">Pour ce faire, les factures dématérialisées adressées au Centre Hospitalier de </w:t>
      </w:r>
      <w:r w:rsidR="00A223D2">
        <w:rPr>
          <w:lang w:val="fr-FR"/>
        </w:rPr>
        <w:t>Clermont Ferrand</w:t>
      </w:r>
      <w:r w:rsidRPr="00DD2EB0">
        <w:rPr>
          <w:lang w:val="fr-FR"/>
        </w:rPr>
        <w:t xml:space="preserve"> devront comporter les informations suivantes :</w:t>
      </w:r>
    </w:p>
    <w:p w14:paraId="458CCC7B" w14:textId="77777777" w:rsidR="0077598A" w:rsidRPr="00DD2EB0" w:rsidRDefault="0077598A" w:rsidP="0077598A">
      <w:pPr>
        <w:pStyle w:val="Sansinterligne"/>
        <w:rPr>
          <w:lang w:val="fr-FR"/>
        </w:rPr>
      </w:pPr>
    </w:p>
    <w:p w14:paraId="7184C130" w14:textId="54213F5F" w:rsidR="00927B25" w:rsidRPr="000D20AF" w:rsidRDefault="00A46559" w:rsidP="0072734A">
      <w:pPr>
        <w:pStyle w:val="Sansinterligne"/>
        <w:numPr>
          <w:ilvl w:val="0"/>
          <w:numId w:val="9"/>
        </w:numPr>
        <w:rPr>
          <w:lang w:val="fr-FR"/>
        </w:rPr>
      </w:pPr>
      <w:r w:rsidRPr="000D20AF">
        <w:rPr>
          <w:lang w:val="fr-FR"/>
        </w:rPr>
        <w:t>Le</w:t>
      </w:r>
      <w:r w:rsidR="0077598A" w:rsidRPr="000D20AF">
        <w:rPr>
          <w:lang w:val="fr-FR"/>
        </w:rPr>
        <w:t xml:space="preserve"> numéro de SIRET du Centre Hospitalier en tant que destinataire de la facture</w:t>
      </w:r>
      <w:r w:rsidR="004C5401" w:rsidRPr="000D20AF">
        <w:rPr>
          <w:lang w:val="fr-FR"/>
        </w:rPr>
        <w:t xml:space="preserve"> car émetteur du bon de commande</w:t>
      </w:r>
      <w:r w:rsidR="0077598A" w:rsidRPr="000D20AF">
        <w:rPr>
          <w:lang w:val="fr-FR"/>
        </w:rPr>
        <w:t xml:space="preserve"> : </w:t>
      </w:r>
      <w:r w:rsidR="0072734A" w:rsidRPr="0072734A">
        <w:rPr>
          <w:lang w:val="fr-FR"/>
        </w:rPr>
        <w:t>26630746100019</w:t>
      </w:r>
    </w:p>
    <w:p w14:paraId="67FF4E4F" w14:textId="19730B9F" w:rsidR="004C5401" w:rsidRPr="000D20AF" w:rsidRDefault="00A46559" w:rsidP="0072734A">
      <w:pPr>
        <w:pStyle w:val="Sansinterligne"/>
        <w:numPr>
          <w:ilvl w:val="0"/>
          <w:numId w:val="9"/>
        </w:numPr>
        <w:rPr>
          <w:lang w:val="fr-FR"/>
        </w:rPr>
      </w:pPr>
      <w:r w:rsidRPr="000D20AF">
        <w:rPr>
          <w:lang w:val="fr-FR"/>
        </w:rPr>
        <w:t>Le</w:t>
      </w:r>
      <w:r w:rsidR="004C5401" w:rsidRPr="000D20AF">
        <w:rPr>
          <w:lang w:val="fr-FR"/>
        </w:rPr>
        <w:t xml:space="preserve"> numéro de SIRET du GCS et en tant que destinataire de la facture car responsable de la partie forfaitaire du marché ou émetteur du bon de commande : </w:t>
      </w:r>
      <w:r w:rsidR="0072734A" w:rsidRPr="0072734A">
        <w:rPr>
          <w:lang w:val="fr-FR"/>
        </w:rPr>
        <w:t>13001333700014</w:t>
      </w:r>
    </w:p>
    <w:p w14:paraId="04243814" w14:textId="77777777" w:rsidR="007B220A" w:rsidRPr="00607FC6" w:rsidRDefault="00A46559" w:rsidP="000D20AF">
      <w:pPr>
        <w:pStyle w:val="Sansinterligne"/>
        <w:numPr>
          <w:ilvl w:val="0"/>
          <w:numId w:val="9"/>
        </w:numPr>
        <w:rPr>
          <w:lang w:val="fr-FR" w:eastAsia="zh-CN"/>
        </w:rPr>
      </w:pPr>
      <w:r w:rsidRPr="000D20AF">
        <w:rPr>
          <w:lang w:val="fr-FR"/>
        </w:rPr>
        <w:t>Le</w:t>
      </w:r>
      <w:r w:rsidR="0077598A" w:rsidRPr="000D20AF">
        <w:rPr>
          <w:lang w:val="fr-FR"/>
        </w:rPr>
        <w:t xml:space="preserve"> numéro</w:t>
      </w:r>
      <w:r w:rsidR="0077598A" w:rsidRPr="00607FC6">
        <w:rPr>
          <w:lang w:val="fr-FR" w:eastAsia="zh-CN"/>
        </w:rPr>
        <w:t xml:space="preserve"> d</w:t>
      </w:r>
      <w:r w:rsidRPr="00607FC6">
        <w:rPr>
          <w:lang w:val="fr-FR" w:eastAsia="zh-CN"/>
        </w:rPr>
        <w:t>e commande sera obligatoirement indiqué.</w:t>
      </w:r>
    </w:p>
    <w:p w14:paraId="057AA8CC" w14:textId="77777777" w:rsidR="00A223D2" w:rsidRPr="00DD2EB0" w:rsidRDefault="00A223D2" w:rsidP="00A223D2">
      <w:pPr>
        <w:pStyle w:val="Sansinterligne"/>
        <w:ind w:left="1068"/>
        <w:rPr>
          <w:lang w:val="fr-FR"/>
        </w:rPr>
      </w:pPr>
    </w:p>
    <w:p w14:paraId="7184C133" w14:textId="77777777" w:rsidR="00927B25" w:rsidRDefault="0077598A" w:rsidP="0077598A">
      <w:pPr>
        <w:pStyle w:val="Sansinterligne"/>
        <w:rPr>
          <w:lang w:val="fr-FR"/>
        </w:rPr>
      </w:pPr>
      <w:r w:rsidRPr="00DD2EB0">
        <w:rPr>
          <w:lang w:val="fr-FR"/>
        </w:rPr>
        <w:t>Les conséquences d’une orientation erronée des factures sont imputables au seul cocontractant.</w:t>
      </w:r>
    </w:p>
    <w:p w14:paraId="22C1256C" w14:textId="77777777" w:rsidR="0077598A" w:rsidRPr="00DD2EB0" w:rsidRDefault="0077598A" w:rsidP="0077598A">
      <w:pPr>
        <w:pStyle w:val="Sansinterligne"/>
        <w:rPr>
          <w:lang w:val="fr-FR"/>
        </w:rPr>
      </w:pPr>
    </w:p>
    <w:p w14:paraId="7184C134" w14:textId="2BA2CD08" w:rsidR="00927B25" w:rsidRPr="00DD2EB0" w:rsidRDefault="0077598A" w:rsidP="005A2E65">
      <w:pPr>
        <w:pStyle w:val="Titre2"/>
      </w:pPr>
      <w:bookmarkStart w:id="23" w:name="_Toc201735431"/>
      <w:r w:rsidRPr="00DD2EB0">
        <w:t>1</w:t>
      </w:r>
      <w:r w:rsidR="00B6684F">
        <w:t>1</w:t>
      </w:r>
      <w:r w:rsidRPr="00DD2EB0">
        <w:t>.3 Délai global de paiement</w:t>
      </w:r>
      <w:bookmarkEnd w:id="23"/>
    </w:p>
    <w:p w14:paraId="7184C135" w14:textId="77777777" w:rsidR="00927B25" w:rsidRDefault="0077598A" w:rsidP="0077598A">
      <w:pPr>
        <w:pStyle w:val="Sansinterligne"/>
        <w:rPr>
          <w:lang w:val="fr-FR"/>
        </w:rPr>
      </w:pPr>
      <w:r w:rsidRPr="00DD2EB0">
        <w:rPr>
          <w:lang w:val="fr-FR"/>
        </w:rPr>
        <w:t>Les sommes dues au titulaire seront payées dans un délai global de 50 jours à compter de la date de réception des demandes de paiement.</w:t>
      </w:r>
    </w:p>
    <w:p w14:paraId="2B729274" w14:textId="77777777" w:rsidR="0077598A" w:rsidRPr="00DD2EB0" w:rsidRDefault="0077598A" w:rsidP="0077598A">
      <w:pPr>
        <w:pStyle w:val="Sansinterligne"/>
        <w:rPr>
          <w:lang w:val="fr-FR"/>
        </w:rPr>
      </w:pPr>
    </w:p>
    <w:p w14:paraId="7184C136" w14:textId="77777777" w:rsidR="00927B25" w:rsidRDefault="0077598A" w:rsidP="0077598A">
      <w:pPr>
        <w:pStyle w:val="Sansinterligne"/>
        <w:rPr>
          <w:lang w:val="fr-FR"/>
        </w:rPr>
      </w:pPr>
      <w:r w:rsidRPr="00DD2EB0">
        <w:rPr>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8677C62" w14:textId="77777777" w:rsidR="0077598A" w:rsidRPr="00DD2EB0" w:rsidRDefault="0077598A" w:rsidP="000D20AF"/>
    <w:p w14:paraId="7184C137" w14:textId="6AD07239" w:rsidR="00927B25" w:rsidRDefault="0077598A" w:rsidP="005A2E65">
      <w:pPr>
        <w:pStyle w:val="Titre2"/>
      </w:pPr>
      <w:bookmarkStart w:id="24" w:name="_Toc201735432"/>
      <w:r w:rsidRPr="00DD2EB0">
        <w:t>1</w:t>
      </w:r>
      <w:r w:rsidR="00B6684F">
        <w:t>1</w:t>
      </w:r>
      <w:r w:rsidRPr="00DD2EB0">
        <w:t>.4 Paiement des cotraitants</w:t>
      </w:r>
      <w:bookmarkEnd w:id="24"/>
    </w:p>
    <w:p w14:paraId="7184C138" w14:textId="77777777" w:rsidR="00927B25" w:rsidRDefault="0077598A" w:rsidP="0077598A">
      <w:pPr>
        <w:pStyle w:val="Sansinterligne"/>
        <w:rPr>
          <w:lang w:val="fr-FR"/>
        </w:rPr>
      </w:pPr>
      <w:r w:rsidRPr="00DD2EB0">
        <w:rPr>
          <w:lang w:val="fr-FR"/>
        </w:rPr>
        <w:t>En cas de groupement conjoint, chaque membre du groupement perçoit directement les sommes se rapportant à l'exécution de ses propres prestations. En cas de groupement solidaire, le paiement est effectué sur un compte unique, ouvert au nom du mandataire.</w:t>
      </w:r>
    </w:p>
    <w:p w14:paraId="7184C139" w14:textId="77777777" w:rsidR="00927B25" w:rsidRDefault="0077598A" w:rsidP="0077598A">
      <w:pPr>
        <w:pStyle w:val="Sansinterligne"/>
        <w:rPr>
          <w:spacing w:val="-2"/>
          <w:lang w:val="fr-FR"/>
        </w:rPr>
      </w:pPr>
      <w:r w:rsidRPr="00DD2EB0">
        <w:rPr>
          <w:spacing w:val="-2"/>
          <w:lang w:val="fr-FR"/>
        </w:rPr>
        <w:t>Les autres dispositions relatives à la cotraitance s'appliquent selon l'article 12.1 du CCAG-FCS.</w:t>
      </w:r>
    </w:p>
    <w:p w14:paraId="21C8633A" w14:textId="77777777" w:rsidR="0077598A" w:rsidRPr="00DD2EB0" w:rsidRDefault="0077598A" w:rsidP="0077598A">
      <w:pPr>
        <w:pStyle w:val="Sansinterligne"/>
        <w:rPr>
          <w:spacing w:val="-2"/>
          <w:lang w:val="fr-FR"/>
        </w:rPr>
      </w:pPr>
    </w:p>
    <w:p w14:paraId="7184C13A" w14:textId="70F6E6FB" w:rsidR="00927B25" w:rsidRDefault="0077598A" w:rsidP="005A2E65">
      <w:pPr>
        <w:pStyle w:val="Titre2"/>
      </w:pPr>
      <w:bookmarkStart w:id="25" w:name="_Toc201735433"/>
      <w:r w:rsidRPr="00DD2EB0">
        <w:t>1</w:t>
      </w:r>
      <w:r w:rsidR="00B6684F">
        <w:t>1</w:t>
      </w:r>
      <w:r w:rsidRPr="00DD2EB0">
        <w:t>.5 Paiement des sous-traitants</w:t>
      </w:r>
      <w:bookmarkEnd w:id="25"/>
    </w:p>
    <w:p w14:paraId="7184C13B" w14:textId="58E37077" w:rsidR="00927B25" w:rsidRPr="007B220A" w:rsidRDefault="0077598A" w:rsidP="0077598A">
      <w:pPr>
        <w:pStyle w:val="Sansinterligne"/>
        <w:rPr>
          <w:lang w:val="fr-FR"/>
        </w:rPr>
      </w:pPr>
      <w:r w:rsidRPr="007B220A">
        <w:rPr>
          <w:lang w:val="fr-FR"/>
        </w:rPr>
        <w:t xml:space="preserve">Le sous-traitant adresse sa demande de paiement au titulaire du marché, sous pli recommandé avec accusé de réception, ou la dépose auprès du titulaire contre récépissé. Le titulaire a 15 jours pour faire savoir s'il accepte ou refuse le paiement au sous-traitant. Cette décision est notifiée au sous-traitant et au </w:t>
      </w:r>
      <w:r w:rsidR="00A223D2" w:rsidRPr="007B220A">
        <w:rPr>
          <w:lang w:val="fr-FR"/>
        </w:rPr>
        <w:t>CHU de Clermont Ferrand</w:t>
      </w:r>
      <w:r w:rsidRPr="007B220A">
        <w:rPr>
          <w:lang w:val="fr-FR"/>
        </w:rPr>
        <w:t xml:space="preserve">. Le sous-traitant adresse également sa demande de paiement au </w:t>
      </w:r>
      <w:r w:rsidR="00A223D2" w:rsidRPr="007B220A">
        <w:rPr>
          <w:lang w:val="fr-FR"/>
        </w:rPr>
        <w:t xml:space="preserve">CHU de Clermont Ferrand </w:t>
      </w:r>
      <w:r w:rsidRPr="007B220A">
        <w:rPr>
          <w:lang w:val="fr-FR"/>
        </w:rPr>
        <w:t>accompagnée des factures et de l'accusé de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7A0F93DD" w14:textId="77777777" w:rsidR="0077598A" w:rsidRPr="007B220A" w:rsidRDefault="0077598A" w:rsidP="0077598A">
      <w:pPr>
        <w:pStyle w:val="Sansinterligne"/>
        <w:rPr>
          <w:lang w:val="fr-FR"/>
        </w:rPr>
      </w:pPr>
    </w:p>
    <w:p w14:paraId="7184C13C" w14:textId="5D9210A3" w:rsidR="00927B25" w:rsidRPr="007B220A" w:rsidRDefault="0077598A" w:rsidP="0077598A">
      <w:pPr>
        <w:pStyle w:val="Sansinterligne"/>
        <w:rPr>
          <w:spacing w:val="-2"/>
          <w:lang w:val="fr-FR"/>
        </w:rPr>
      </w:pPr>
      <w:r w:rsidRPr="007B220A">
        <w:rPr>
          <w:spacing w:val="-2"/>
          <w:lang w:val="fr-FR"/>
        </w:rPr>
        <w:t xml:space="preserve">Le paiement du sous-traitant s'effectue dans le respect du délai global de paiement. Ce délai court à compter de la réception par le </w:t>
      </w:r>
      <w:r w:rsidR="00A223D2" w:rsidRPr="007B220A">
        <w:rPr>
          <w:lang w:val="fr-FR"/>
        </w:rPr>
        <w:t xml:space="preserve">CHU de Clermont Ferrand </w:t>
      </w:r>
      <w:r w:rsidRPr="007B220A">
        <w:rPr>
          <w:spacing w:val="-2"/>
          <w:lang w:val="fr-FR"/>
        </w:rPr>
        <w:t xml:space="preserve">de l'accord, total ou partiel, du titulaire sur le paiement demandé, ou de l'expiration du délai de 15 jours mentionné plus haut si, pendant ce délai, le titulaire n'a notifié aucun accord ni aucun refus, ou encore de la réception par le </w:t>
      </w:r>
      <w:r w:rsidR="00A223D2" w:rsidRPr="007B220A">
        <w:rPr>
          <w:lang w:val="fr-FR"/>
        </w:rPr>
        <w:t xml:space="preserve">CHU de Clermont Ferrand </w:t>
      </w:r>
      <w:r w:rsidRPr="007B220A">
        <w:rPr>
          <w:spacing w:val="-2"/>
          <w:lang w:val="fr-FR"/>
        </w:rPr>
        <w:t xml:space="preserve">de l'avis postal mentionné ci-dessus. Le </w:t>
      </w:r>
      <w:r w:rsidR="00A223D2" w:rsidRPr="007B220A">
        <w:rPr>
          <w:lang w:val="fr-FR"/>
        </w:rPr>
        <w:t xml:space="preserve">CHU de Clermont Ferrand </w:t>
      </w:r>
      <w:r w:rsidRPr="007B220A">
        <w:rPr>
          <w:spacing w:val="-2"/>
          <w:lang w:val="fr-FR"/>
        </w:rPr>
        <w:t>informe le titulaire des paiements qu'il effectue au sous-traitant.</w:t>
      </w:r>
    </w:p>
    <w:p w14:paraId="5612FE5C" w14:textId="77777777" w:rsidR="0077598A" w:rsidRPr="007B220A" w:rsidRDefault="0077598A" w:rsidP="0077598A">
      <w:pPr>
        <w:pStyle w:val="Sansinterligne"/>
        <w:rPr>
          <w:spacing w:val="-2"/>
          <w:lang w:val="fr-FR"/>
        </w:rPr>
      </w:pPr>
    </w:p>
    <w:p w14:paraId="7184C13D" w14:textId="77777777" w:rsidR="00927B25" w:rsidRPr="00DD2EB0" w:rsidRDefault="0077598A" w:rsidP="0077598A">
      <w:pPr>
        <w:pStyle w:val="Sansinterligne"/>
        <w:rPr>
          <w:lang w:val="fr-FR"/>
        </w:rPr>
      </w:pPr>
      <w:r w:rsidRPr="007B220A">
        <w:rPr>
          <w:lang w:val="fr-FR"/>
        </w:rPr>
        <w:t>En cas de cotraitance, si le titulaire qui a conclu le contrat de sous-traitance n'est pas le mandataire du groupement, ce dernier doit également signer la demande de paiement.</w:t>
      </w:r>
    </w:p>
    <w:p w14:paraId="7184C140" w14:textId="0F4CE241" w:rsidR="00927B25" w:rsidRPr="00DD2EB0" w:rsidRDefault="0077598A" w:rsidP="005A2E65">
      <w:pPr>
        <w:pStyle w:val="Titre1"/>
      </w:pPr>
      <w:bookmarkStart w:id="26" w:name="_Toc201735434"/>
      <w:r w:rsidRPr="00DD2EB0">
        <w:t>1</w:t>
      </w:r>
      <w:r w:rsidR="00B6684F">
        <w:t xml:space="preserve">2 - </w:t>
      </w:r>
      <w:r w:rsidRPr="00DD2EB0">
        <w:t>Garantie des prestations</w:t>
      </w:r>
      <w:bookmarkEnd w:id="26"/>
    </w:p>
    <w:p w14:paraId="7184C141" w14:textId="77777777" w:rsidR="00927B25" w:rsidRDefault="0077598A" w:rsidP="0077598A">
      <w:pPr>
        <w:pStyle w:val="Sansinterligne"/>
        <w:rPr>
          <w:lang w:val="fr-FR"/>
        </w:rPr>
      </w:pPr>
      <w:r w:rsidRPr="00DD2EB0">
        <w:rPr>
          <w:lang w:val="fr-FR"/>
        </w:rPr>
        <w:t>Les prestations feront l'objet d'une garantie de 1 an dont le point de départ est la date de notification de la décision d'admission. Les modalités de cette garantie sont définies à l'article 28 du CCAG-FCS.</w:t>
      </w:r>
    </w:p>
    <w:p w14:paraId="2E0151E7" w14:textId="77777777" w:rsidR="0077598A" w:rsidRPr="00DD2EB0" w:rsidRDefault="0077598A" w:rsidP="0077598A">
      <w:pPr>
        <w:pStyle w:val="Sansinterligne"/>
        <w:rPr>
          <w:lang w:val="fr-FR"/>
        </w:rPr>
      </w:pPr>
    </w:p>
    <w:p w14:paraId="7184C142" w14:textId="257DE09A" w:rsidR="00927B25" w:rsidRDefault="0077598A" w:rsidP="005A2E65">
      <w:pPr>
        <w:pStyle w:val="Titre1"/>
      </w:pPr>
      <w:bookmarkStart w:id="27" w:name="_Toc201735435"/>
      <w:r w:rsidRPr="00DD2EB0">
        <w:t>1</w:t>
      </w:r>
      <w:r w:rsidR="00B6684F">
        <w:t xml:space="preserve">3 </w:t>
      </w:r>
      <w:r w:rsidR="00437D95">
        <w:t>–</w:t>
      </w:r>
      <w:r w:rsidRPr="00DD2EB0">
        <w:t xml:space="preserve"> Pénalités</w:t>
      </w:r>
      <w:bookmarkEnd w:id="27"/>
    </w:p>
    <w:p w14:paraId="37FFD5F7" w14:textId="77777777" w:rsidR="00437D95" w:rsidRPr="00E026CA" w:rsidRDefault="00437D95" w:rsidP="000D20AF"/>
    <w:tbl>
      <w:tblPr>
        <w:tblStyle w:val="Grilledutableau"/>
        <w:tblW w:w="0" w:type="auto"/>
        <w:tblLook w:val="04A0" w:firstRow="1" w:lastRow="0" w:firstColumn="1" w:lastColumn="0" w:noHBand="0" w:noVBand="1"/>
      </w:tblPr>
      <w:tblGrid>
        <w:gridCol w:w="3151"/>
        <w:gridCol w:w="2940"/>
        <w:gridCol w:w="3699"/>
      </w:tblGrid>
      <w:tr w:rsidR="00E026CA" w:rsidRPr="00E026CA" w14:paraId="17138EA6" w14:textId="77777777" w:rsidTr="00E026CA">
        <w:trPr>
          <w:trHeight w:val="290"/>
        </w:trPr>
        <w:tc>
          <w:tcPr>
            <w:tcW w:w="3151" w:type="dxa"/>
            <w:hideMark/>
          </w:tcPr>
          <w:p w14:paraId="225B14F6" w14:textId="77777777" w:rsidR="00E026CA" w:rsidRPr="00E026CA" w:rsidRDefault="00E026CA" w:rsidP="000D20AF">
            <w:r w:rsidRPr="00E026CA">
              <w:t>Motifs</w:t>
            </w:r>
          </w:p>
        </w:tc>
        <w:tc>
          <w:tcPr>
            <w:tcW w:w="2940" w:type="dxa"/>
            <w:noWrap/>
            <w:hideMark/>
          </w:tcPr>
          <w:p w14:paraId="1B3FE10F" w14:textId="77777777" w:rsidR="00E026CA" w:rsidRPr="00E026CA" w:rsidRDefault="00E026CA" w:rsidP="000D20AF">
            <w:r w:rsidRPr="00E026CA">
              <w:t>Points de référence</w:t>
            </w:r>
          </w:p>
        </w:tc>
        <w:tc>
          <w:tcPr>
            <w:tcW w:w="3699" w:type="dxa"/>
            <w:hideMark/>
          </w:tcPr>
          <w:p w14:paraId="7CA9BF0F" w14:textId="77777777" w:rsidR="00E026CA" w:rsidRPr="00E026CA" w:rsidRDefault="00E026CA" w:rsidP="000D20AF">
            <w:r w:rsidRPr="00E026CA">
              <w:t>Pénalités</w:t>
            </w:r>
          </w:p>
        </w:tc>
      </w:tr>
      <w:tr w:rsidR="00E026CA" w:rsidRPr="00E026CA" w14:paraId="446CAA84" w14:textId="77777777" w:rsidTr="00E026CA">
        <w:trPr>
          <w:trHeight w:val="290"/>
        </w:trPr>
        <w:tc>
          <w:tcPr>
            <w:tcW w:w="3151" w:type="dxa"/>
            <w:vMerge w:val="restart"/>
            <w:hideMark/>
          </w:tcPr>
          <w:p w14:paraId="645434DE" w14:textId="77777777" w:rsidR="00E026CA" w:rsidRPr="00E026CA" w:rsidRDefault="00E026CA" w:rsidP="000D20AF">
            <w:r w:rsidRPr="00E026CA">
              <w:t>Installations essentielles</w:t>
            </w:r>
            <w:r w:rsidRPr="00E026CA">
              <w:br/>
              <w:t>Délai d'intervention au-delà du délai fixé au CCTP</w:t>
            </w:r>
          </w:p>
        </w:tc>
        <w:tc>
          <w:tcPr>
            <w:tcW w:w="2940" w:type="dxa"/>
            <w:noWrap/>
            <w:hideMark/>
          </w:tcPr>
          <w:p w14:paraId="0D7D1C31" w14:textId="77777777" w:rsidR="00E026CA" w:rsidRPr="00E026CA" w:rsidRDefault="00E026CA" w:rsidP="000D20AF">
            <w:r w:rsidRPr="00E026CA">
              <w:t>15 mn</w:t>
            </w:r>
          </w:p>
        </w:tc>
        <w:tc>
          <w:tcPr>
            <w:tcW w:w="3699" w:type="dxa"/>
            <w:hideMark/>
          </w:tcPr>
          <w:p w14:paraId="13AF3ABA" w14:textId="77777777" w:rsidR="00E026CA" w:rsidRPr="00E026CA" w:rsidRDefault="00E026CA" w:rsidP="000D20AF">
            <w:r w:rsidRPr="00E026CA">
              <w:t>50 € par constat</w:t>
            </w:r>
          </w:p>
        </w:tc>
      </w:tr>
      <w:tr w:rsidR="00E026CA" w:rsidRPr="00E026CA" w14:paraId="5ECC4B6E" w14:textId="77777777" w:rsidTr="00E026CA">
        <w:trPr>
          <w:trHeight w:val="290"/>
        </w:trPr>
        <w:tc>
          <w:tcPr>
            <w:tcW w:w="3151" w:type="dxa"/>
            <w:vMerge/>
            <w:hideMark/>
          </w:tcPr>
          <w:p w14:paraId="17D66598" w14:textId="77777777" w:rsidR="00E026CA" w:rsidRPr="00E026CA" w:rsidRDefault="00E026CA" w:rsidP="000D20AF"/>
        </w:tc>
        <w:tc>
          <w:tcPr>
            <w:tcW w:w="2940" w:type="dxa"/>
            <w:noWrap/>
            <w:hideMark/>
          </w:tcPr>
          <w:p w14:paraId="17043151" w14:textId="77777777" w:rsidR="00E026CA" w:rsidRPr="00E026CA" w:rsidRDefault="00E026CA" w:rsidP="000D20AF">
            <w:r w:rsidRPr="00E026CA">
              <w:t>30 mn</w:t>
            </w:r>
          </w:p>
        </w:tc>
        <w:tc>
          <w:tcPr>
            <w:tcW w:w="3699" w:type="dxa"/>
            <w:hideMark/>
          </w:tcPr>
          <w:p w14:paraId="16E4B3A4" w14:textId="77777777" w:rsidR="00E026CA" w:rsidRPr="00E026CA" w:rsidRDefault="00E026CA" w:rsidP="000D20AF">
            <w:r w:rsidRPr="00E026CA">
              <w:t>30 € par constat</w:t>
            </w:r>
          </w:p>
        </w:tc>
      </w:tr>
      <w:tr w:rsidR="00E026CA" w:rsidRPr="00E026CA" w14:paraId="694A3836" w14:textId="77777777" w:rsidTr="00E026CA">
        <w:trPr>
          <w:trHeight w:val="580"/>
        </w:trPr>
        <w:tc>
          <w:tcPr>
            <w:tcW w:w="3151" w:type="dxa"/>
            <w:hideMark/>
          </w:tcPr>
          <w:p w14:paraId="5E76A548" w14:textId="77777777" w:rsidR="00E026CA" w:rsidRPr="00E026CA" w:rsidRDefault="00E026CA" w:rsidP="000D20AF">
            <w:r w:rsidRPr="00E026CA">
              <w:t>Installations essentielles</w:t>
            </w:r>
            <w:r w:rsidRPr="00E026CA">
              <w:br/>
              <w:t>Délai d'intervention au-delà du délai fixé au CCTP - Astreinte</w:t>
            </w:r>
          </w:p>
        </w:tc>
        <w:tc>
          <w:tcPr>
            <w:tcW w:w="2940" w:type="dxa"/>
            <w:noWrap/>
            <w:hideMark/>
          </w:tcPr>
          <w:p w14:paraId="08AFB1B2" w14:textId="77777777" w:rsidR="00E026CA" w:rsidRPr="00E026CA" w:rsidRDefault="00E026CA" w:rsidP="000D20AF">
            <w:r w:rsidRPr="00E026CA">
              <w:t>2 h</w:t>
            </w:r>
          </w:p>
        </w:tc>
        <w:tc>
          <w:tcPr>
            <w:tcW w:w="3699" w:type="dxa"/>
            <w:hideMark/>
          </w:tcPr>
          <w:p w14:paraId="5740BAC7" w14:textId="77777777" w:rsidR="00E026CA" w:rsidRPr="00E026CA" w:rsidRDefault="00E026CA" w:rsidP="000D20AF">
            <w:r w:rsidRPr="00E026CA">
              <w:t>30 € par constat</w:t>
            </w:r>
          </w:p>
        </w:tc>
      </w:tr>
      <w:tr w:rsidR="00E026CA" w:rsidRPr="00E026CA" w14:paraId="6E8E404D" w14:textId="77777777" w:rsidTr="00E026CA">
        <w:trPr>
          <w:trHeight w:val="850"/>
        </w:trPr>
        <w:tc>
          <w:tcPr>
            <w:tcW w:w="3151" w:type="dxa"/>
            <w:hideMark/>
          </w:tcPr>
          <w:p w14:paraId="5F5B5A3D" w14:textId="77777777" w:rsidR="00E026CA" w:rsidRPr="00E026CA" w:rsidRDefault="00E026CA" w:rsidP="000D20AF">
            <w:r w:rsidRPr="00E026CA">
              <w:t>Installations essentielles</w:t>
            </w:r>
            <w:r w:rsidRPr="00E026CA">
              <w:br/>
              <w:t>Délai de dépannage au-delà du délai fixé au CCTP</w:t>
            </w:r>
          </w:p>
        </w:tc>
        <w:tc>
          <w:tcPr>
            <w:tcW w:w="2940" w:type="dxa"/>
            <w:noWrap/>
            <w:hideMark/>
          </w:tcPr>
          <w:p w14:paraId="4EA1C235" w14:textId="77777777" w:rsidR="00E026CA" w:rsidRPr="00E026CA" w:rsidRDefault="00E026CA" w:rsidP="000D20AF">
            <w:r w:rsidRPr="00E026CA">
              <w:t>2 h</w:t>
            </w:r>
          </w:p>
        </w:tc>
        <w:tc>
          <w:tcPr>
            <w:tcW w:w="3699" w:type="dxa"/>
            <w:hideMark/>
          </w:tcPr>
          <w:p w14:paraId="2EA4423F" w14:textId="77777777" w:rsidR="00E026CA" w:rsidRPr="00E026CA" w:rsidRDefault="00E026CA" w:rsidP="000D20AF">
            <w:r w:rsidRPr="00E026CA">
              <w:t>50 € par constat et par heure</w:t>
            </w:r>
          </w:p>
        </w:tc>
      </w:tr>
      <w:tr w:rsidR="00E026CA" w:rsidRPr="00E026CA" w14:paraId="6B9607AB" w14:textId="77777777" w:rsidTr="00E026CA">
        <w:trPr>
          <w:trHeight w:val="850"/>
        </w:trPr>
        <w:tc>
          <w:tcPr>
            <w:tcW w:w="3151" w:type="dxa"/>
            <w:hideMark/>
          </w:tcPr>
          <w:p w14:paraId="6245CCDF" w14:textId="77777777" w:rsidR="00E026CA" w:rsidRPr="00E026CA" w:rsidRDefault="00E026CA" w:rsidP="000D20AF">
            <w:r w:rsidRPr="00E026CA">
              <w:t>Installations essentielles</w:t>
            </w:r>
            <w:r w:rsidRPr="00E026CA">
              <w:br/>
              <w:t>Délai de remise en état au-delà du délai fixé au CCTP</w:t>
            </w:r>
          </w:p>
        </w:tc>
        <w:tc>
          <w:tcPr>
            <w:tcW w:w="2940" w:type="dxa"/>
            <w:noWrap/>
            <w:hideMark/>
          </w:tcPr>
          <w:p w14:paraId="2AD16D71" w14:textId="77777777" w:rsidR="00E026CA" w:rsidRPr="00E026CA" w:rsidRDefault="00E026CA" w:rsidP="000D20AF">
            <w:r w:rsidRPr="00E026CA">
              <w:t>2 jours</w:t>
            </w:r>
          </w:p>
        </w:tc>
        <w:tc>
          <w:tcPr>
            <w:tcW w:w="3699" w:type="dxa"/>
            <w:hideMark/>
          </w:tcPr>
          <w:p w14:paraId="3F604724" w14:textId="77777777" w:rsidR="00E026CA" w:rsidRPr="00E026CA" w:rsidRDefault="00E026CA" w:rsidP="000D20AF">
            <w:r w:rsidRPr="00E026CA">
              <w:t>500 € par jour</w:t>
            </w:r>
          </w:p>
        </w:tc>
      </w:tr>
      <w:tr w:rsidR="00E026CA" w:rsidRPr="00E026CA" w14:paraId="0B944A19" w14:textId="77777777" w:rsidTr="00E026CA">
        <w:trPr>
          <w:trHeight w:val="580"/>
        </w:trPr>
        <w:tc>
          <w:tcPr>
            <w:tcW w:w="3151" w:type="dxa"/>
            <w:hideMark/>
          </w:tcPr>
          <w:p w14:paraId="01904A6A" w14:textId="77777777" w:rsidR="00E026CA" w:rsidRPr="00E026CA" w:rsidRDefault="00E026CA" w:rsidP="000D20AF">
            <w:r w:rsidRPr="00E026CA">
              <w:t>Autres installations</w:t>
            </w:r>
            <w:r w:rsidRPr="00E026CA">
              <w:br/>
              <w:t>Délai d'intervention au-delà du délai fixé au CCTP</w:t>
            </w:r>
          </w:p>
        </w:tc>
        <w:tc>
          <w:tcPr>
            <w:tcW w:w="2940" w:type="dxa"/>
            <w:noWrap/>
            <w:hideMark/>
          </w:tcPr>
          <w:p w14:paraId="17837B82" w14:textId="77777777" w:rsidR="00E026CA" w:rsidRPr="00E026CA" w:rsidRDefault="00E026CA" w:rsidP="000D20AF">
            <w:r w:rsidRPr="00E026CA">
              <w:t>2 h</w:t>
            </w:r>
          </w:p>
        </w:tc>
        <w:tc>
          <w:tcPr>
            <w:tcW w:w="3699" w:type="dxa"/>
            <w:hideMark/>
          </w:tcPr>
          <w:p w14:paraId="2A25EA25" w14:textId="77777777" w:rsidR="00E026CA" w:rsidRPr="00E026CA" w:rsidRDefault="00E026CA" w:rsidP="000D20AF">
            <w:r w:rsidRPr="00E026CA">
              <w:t>30 € par constat</w:t>
            </w:r>
          </w:p>
        </w:tc>
      </w:tr>
      <w:tr w:rsidR="00E026CA" w:rsidRPr="00E026CA" w14:paraId="01517A53" w14:textId="77777777" w:rsidTr="00E026CA">
        <w:trPr>
          <w:trHeight w:val="580"/>
        </w:trPr>
        <w:tc>
          <w:tcPr>
            <w:tcW w:w="3151" w:type="dxa"/>
            <w:hideMark/>
          </w:tcPr>
          <w:p w14:paraId="52EB6933" w14:textId="77777777" w:rsidR="00E026CA" w:rsidRPr="00E026CA" w:rsidRDefault="00E026CA" w:rsidP="000D20AF">
            <w:r w:rsidRPr="00E026CA">
              <w:t>Autres installations</w:t>
            </w:r>
            <w:r w:rsidRPr="00E026CA">
              <w:br/>
              <w:t>Délai d'intervention au-delà du délai fixé au CCTP - Astreinte</w:t>
            </w:r>
          </w:p>
        </w:tc>
        <w:tc>
          <w:tcPr>
            <w:tcW w:w="2940" w:type="dxa"/>
            <w:noWrap/>
            <w:hideMark/>
          </w:tcPr>
          <w:p w14:paraId="2C2FAFFE" w14:textId="77777777" w:rsidR="00E026CA" w:rsidRPr="00E026CA" w:rsidRDefault="00E026CA" w:rsidP="000D20AF">
            <w:r w:rsidRPr="00E026CA">
              <w:t>2 h</w:t>
            </w:r>
          </w:p>
        </w:tc>
        <w:tc>
          <w:tcPr>
            <w:tcW w:w="3699" w:type="dxa"/>
            <w:hideMark/>
          </w:tcPr>
          <w:p w14:paraId="3C7F78FE" w14:textId="77777777" w:rsidR="00E026CA" w:rsidRPr="00E026CA" w:rsidRDefault="00E026CA" w:rsidP="000D20AF">
            <w:r w:rsidRPr="00E026CA">
              <w:t>30 € par constat</w:t>
            </w:r>
          </w:p>
        </w:tc>
      </w:tr>
      <w:tr w:rsidR="00E026CA" w:rsidRPr="00E026CA" w14:paraId="59BAF11C" w14:textId="77777777" w:rsidTr="00E026CA">
        <w:trPr>
          <w:trHeight w:val="580"/>
        </w:trPr>
        <w:tc>
          <w:tcPr>
            <w:tcW w:w="3151" w:type="dxa"/>
            <w:hideMark/>
          </w:tcPr>
          <w:p w14:paraId="2DCE71A9" w14:textId="77777777" w:rsidR="00E026CA" w:rsidRPr="00E026CA" w:rsidRDefault="00E026CA" w:rsidP="000D20AF">
            <w:r w:rsidRPr="00E026CA">
              <w:t>Autres installations</w:t>
            </w:r>
            <w:r w:rsidRPr="00E026CA">
              <w:br/>
              <w:t>Délai de dépannage au-delà du délai fixé au CCTP</w:t>
            </w:r>
          </w:p>
        </w:tc>
        <w:tc>
          <w:tcPr>
            <w:tcW w:w="2940" w:type="dxa"/>
            <w:noWrap/>
            <w:hideMark/>
          </w:tcPr>
          <w:p w14:paraId="63EB1A04" w14:textId="77777777" w:rsidR="00E026CA" w:rsidRPr="00E026CA" w:rsidRDefault="00E026CA" w:rsidP="000D20AF">
            <w:r w:rsidRPr="00E026CA">
              <w:t>4 h</w:t>
            </w:r>
          </w:p>
        </w:tc>
        <w:tc>
          <w:tcPr>
            <w:tcW w:w="3699" w:type="dxa"/>
            <w:hideMark/>
          </w:tcPr>
          <w:p w14:paraId="4D51E494" w14:textId="77777777" w:rsidR="00E026CA" w:rsidRPr="00E026CA" w:rsidRDefault="00E026CA" w:rsidP="000D20AF">
            <w:r w:rsidRPr="00E026CA">
              <w:t>50 € par constat et par heure</w:t>
            </w:r>
          </w:p>
        </w:tc>
      </w:tr>
      <w:tr w:rsidR="00E026CA" w:rsidRPr="00E026CA" w14:paraId="476E6824" w14:textId="77777777" w:rsidTr="00E026CA">
        <w:trPr>
          <w:trHeight w:val="580"/>
        </w:trPr>
        <w:tc>
          <w:tcPr>
            <w:tcW w:w="3151" w:type="dxa"/>
            <w:hideMark/>
          </w:tcPr>
          <w:p w14:paraId="73C095DC" w14:textId="77777777" w:rsidR="00E026CA" w:rsidRPr="00E026CA" w:rsidRDefault="00E026CA" w:rsidP="000D20AF">
            <w:r w:rsidRPr="00E026CA">
              <w:t>Autres installations</w:t>
            </w:r>
            <w:r w:rsidRPr="00E026CA">
              <w:br/>
              <w:t>Délai de remise en état au-delà du délai fixé au CCTP</w:t>
            </w:r>
          </w:p>
        </w:tc>
        <w:tc>
          <w:tcPr>
            <w:tcW w:w="2940" w:type="dxa"/>
            <w:noWrap/>
            <w:hideMark/>
          </w:tcPr>
          <w:p w14:paraId="3E421F32" w14:textId="77777777" w:rsidR="00E026CA" w:rsidRPr="00E026CA" w:rsidRDefault="00E026CA" w:rsidP="000D20AF">
            <w:r w:rsidRPr="00E026CA">
              <w:t>7 jours</w:t>
            </w:r>
          </w:p>
        </w:tc>
        <w:tc>
          <w:tcPr>
            <w:tcW w:w="3699" w:type="dxa"/>
            <w:hideMark/>
          </w:tcPr>
          <w:p w14:paraId="09B387D3" w14:textId="77777777" w:rsidR="00E026CA" w:rsidRPr="00E026CA" w:rsidRDefault="00E026CA" w:rsidP="000D20AF">
            <w:r w:rsidRPr="00E026CA">
              <w:t>500 € par jour</w:t>
            </w:r>
          </w:p>
        </w:tc>
      </w:tr>
      <w:tr w:rsidR="00E026CA" w:rsidRPr="00E026CA" w14:paraId="73E248E1" w14:textId="77777777" w:rsidTr="00AE67A0">
        <w:trPr>
          <w:trHeight w:val="989"/>
        </w:trPr>
        <w:tc>
          <w:tcPr>
            <w:tcW w:w="3151" w:type="dxa"/>
            <w:hideMark/>
          </w:tcPr>
          <w:p w14:paraId="719E19A6" w14:textId="77777777" w:rsidR="00E026CA" w:rsidRPr="00E026CA" w:rsidRDefault="00E026CA" w:rsidP="000D20AF">
            <w:r w:rsidRPr="00E026CA">
              <w:t xml:space="preserve">Taux d'indisponibilité mensuel par équipement ou groupe de machines </w:t>
            </w:r>
          </w:p>
        </w:tc>
        <w:tc>
          <w:tcPr>
            <w:tcW w:w="2940" w:type="dxa"/>
            <w:noWrap/>
            <w:hideMark/>
          </w:tcPr>
          <w:p w14:paraId="594AD6B6" w14:textId="77777777" w:rsidR="00E026CA" w:rsidRPr="00E026CA" w:rsidRDefault="00E026CA" w:rsidP="000D20AF">
            <w:r w:rsidRPr="00E026CA">
              <w:t>&gt; 95%</w:t>
            </w:r>
          </w:p>
        </w:tc>
        <w:tc>
          <w:tcPr>
            <w:tcW w:w="3699" w:type="dxa"/>
            <w:hideMark/>
          </w:tcPr>
          <w:p w14:paraId="271BE30E" w14:textId="77777777" w:rsidR="00E026CA" w:rsidRPr="00E026CA" w:rsidRDefault="00E026CA" w:rsidP="000D20AF">
            <w:r w:rsidRPr="00E026CA">
              <w:t>250 € par constat, équipement et/ou groupe de machines</w:t>
            </w:r>
          </w:p>
        </w:tc>
      </w:tr>
      <w:tr w:rsidR="00E026CA" w:rsidRPr="00E026CA" w14:paraId="441E8C5A" w14:textId="77777777" w:rsidTr="00AE67A0">
        <w:trPr>
          <w:trHeight w:val="705"/>
        </w:trPr>
        <w:tc>
          <w:tcPr>
            <w:tcW w:w="3151" w:type="dxa"/>
            <w:hideMark/>
          </w:tcPr>
          <w:p w14:paraId="4B12D3CD" w14:textId="77777777" w:rsidR="00E026CA" w:rsidRPr="00E026CA" w:rsidRDefault="00E026CA" w:rsidP="000D20AF">
            <w:r w:rsidRPr="00E026CA">
              <w:t>Délai de mise en œuvre de la GMAO (opérationnelle)</w:t>
            </w:r>
          </w:p>
        </w:tc>
        <w:tc>
          <w:tcPr>
            <w:tcW w:w="2940" w:type="dxa"/>
            <w:noWrap/>
            <w:hideMark/>
          </w:tcPr>
          <w:p w14:paraId="2C544740" w14:textId="77777777" w:rsidR="00E026CA" w:rsidRPr="00E026CA" w:rsidRDefault="00E026CA" w:rsidP="000D20AF">
            <w:r w:rsidRPr="00E026CA">
              <w:t>6 mois</w:t>
            </w:r>
          </w:p>
        </w:tc>
        <w:tc>
          <w:tcPr>
            <w:tcW w:w="3699" w:type="dxa"/>
            <w:hideMark/>
          </w:tcPr>
          <w:p w14:paraId="383E2BAE" w14:textId="77777777" w:rsidR="00E026CA" w:rsidRPr="00E026CA" w:rsidRDefault="00E026CA" w:rsidP="000D20AF">
            <w:r w:rsidRPr="00E026CA">
              <w:t>1% du forfait annuel par mois de retard</w:t>
            </w:r>
          </w:p>
        </w:tc>
      </w:tr>
      <w:tr w:rsidR="00E026CA" w:rsidRPr="00E026CA" w14:paraId="62413DC9" w14:textId="77777777" w:rsidTr="00E026CA">
        <w:trPr>
          <w:trHeight w:val="660"/>
        </w:trPr>
        <w:tc>
          <w:tcPr>
            <w:tcW w:w="3151" w:type="dxa"/>
            <w:hideMark/>
          </w:tcPr>
          <w:p w14:paraId="62FB1FE0" w14:textId="77777777" w:rsidR="00E026CA" w:rsidRPr="00E026CA" w:rsidRDefault="00E026CA" w:rsidP="000D20AF">
            <w:r w:rsidRPr="00E026CA">
              <w:t>Non-respect des gammes de maintenance</w:t>
            </w:r>
          </w:p>
        </w:tc>
        <w:tc>
          <w:tcPr>
            <w:tcW w:w="2940" w:type="dxa"/>
            <w:noWrap/>
            <w:hideMark/>
          </w:tcPr>
          <w:p w14:paraId="5702C3A4" w14:textId="77777777" w:rsidR="00E026CA" w:rsidRPr="00E026CA" w:rsidRDefault="00E026CA" w:rsidP="000D20AF">
            <w:r w:rsidRPr="00E026CA">
              <w:t>Gamme non effectuée et inscrite dans le GMAO</w:t>
            </w:r>
          </w:p>
        </w:tc>
        <w:tc>
          <w:tcPr>
            <w:tcW w:w="3699" w:type="dxa"/>
            <w:hideMark/>
          </w:tcPr>
          <w:p w14:paraId="201860AB" w14:textId="77777777" w:rsidR="00E026CA" w:rsidRPr="00E026CA" w:rsidRDefault="00E026CA" w:rsidP="000D20AF">
            <w:r w:rsidRPr="00E026CA">
              <w:t>100 € par constat</w:t>
            </w:r>
          </w:p>
        </w:tc>
      </w:tr>
      <w:tr w:rsidR="00E026CA" w:rsidRPr="00E026CA" w14:paraId="306747AA" w14:textId="77777777" w:rsidTr="00E026CA">
        <w:trPr>
          <w:trHeight w:val="660"/>
        </w:trPr>
        <w:tc>
          <w:tcPr>
            <w:tcW w:w="3151" w:type="dxa"/>
            <w:hideMark/>
          </w:tcPr>
          <w:p w14:paraId="7BEC34AA" w14:textId="77777777" w:rsidR="00E026CA" w:rsidRPr="00E026CA" w:rsidRDefault="00E026CA" w:rsidP="000D20AF">
            <w:r w:rsidRPr="00E026CA">
              <w:t>Absence de saisie et de transmission des rapports GMAO</w:t>
            </w:r>
          </w:p>
        </w:tc>
        <w:tc>
          <w:tcPr>
            <w:tcW w:w="2940" w:type="dxa"/>
            <w:hideMark/>
          </w:tcPr>
          <w:p w14:paraId="2FAD4622" w14:textId="77777777" w:rsidR="00E026CA" w:rsidRPr="00E026CA" w:rsidRDefault="00E026CA" w:rsidP="000D20AF">
            <w:r w:rsidRPr="00E026CA">
              <w:t>J+1 à compter de l'intervention effectuée réalisé (GMAO ou autre forme écrite)</w:t>
            </w:r>
          </w:p>
        </w:tc>
        <w:tc>
          <w:tcPr>
            <w:tcW w:w="3699" w:type="dxa"/>
            <w:hideMark/>
          </w:tcPr>
          <w:p w14:paraId="2568613E" w14:textId="77777777" w:rsidR="00E026CA" w:rsidRPr="00E026CA" w:rsidRDefault="00E026CA" w:rsidP="000D20AF">
            <w:r w:rsidRPr="00E026CA">
              <w:t>100 € par jour ouvré de retard à compter de J+2</w:t>
            </w:r>
          </w:p>
        </w:tc>
      </w:tr>
      <w:tr w:rsidR="00E026CA" w:rsidRPr="00E026CA" w14:paraId="6D86A70E" w14:textId="77777777" w:rsidTr="00E026CA">
        <w:trPr>
          <w:trHeight w:val="880"/>
        </w:trPr>
        <w:tc>
          <w:tcPr>
            <w:tcW w:w="3151" w:type="dxa"/>
            <w:hideMark/>
          </w:tcPr>
          <w:p w14:paraId="05350AD2" w14:textId="77777777" w:rsidR="00E026CA" w:rsidRPr="00E026CA" w:rsidRDefault="00E026CA" w:rsidP="000D20AF">
            <w:r w:rsidRPr="00E026CA">
              <w:t>Retard ou absence du technicien</w:t>
            </w:r>
          </w:p>
        </w:tc>
        <w:tc>
          <w:tcPr>
            <w:tcW w:w="2940" w:type="dxa"/>
            <w:hideMark/>
          </w:tcPr>
          <w:p w14:paraId="5EECC765" w14:textId="77777777" w:rsidR="00E026CA" w:rsidRPr="00E026CA" w:rsidRDefault="00E026CA" w:rsidP="000D20AF">
            <w:r w:rsidRPr="00E026CA">
              <w:t>Planning et effectif de présence transmis par le candidat</w:t>
            </w:r>
          </w:p>
        </w:tc>
        <w:tc>
          <w:tcPr>
            <w:tcW w:w="3699" w:type="dxa"/>
            <w:hideMark/>
          </w:tcPr>
          <w:p w14:paraId="3CAA54DE" w14:textId="77777777" w:rsidR="00E026CA" w:rsidRPr="00E026CA" w:rsidRDefault="00E026CA" w:rsidP="000D20AF">
            <w:r w:rsidRPr="00E026CA">
              <w:t>500 € par constat</w:t>
            </w:r>
          </w:p>
        </w:tc>
      </w:tr>
      <w:tr w:rsidR="00E026CA" w:rsidRPr="00E026CA" w14:paraId="7F58FD25" w14:textId="77777777" w:rsidTr="00E026CA">
        <w:trPr>
          <w:trHeight w:val="670"/>
        </w:trPr>
        <w:tc>
          <w:tcPr>
            <w:tcW w:w="3151" w:type="dxa"/>
            <w:hideMark/>
          </w:tcPr>
          <w:p w14:paraId="61C3BF31" w14:textId="77777777" w:rsidR="00E026CA" w:rsidRPr="00E026CA" w:rsidRDefault="00E026CA" w:rsidP="000D20AF">
            <w:r w:rsidRPr="00E026CA">
              <w:t>Dégradation ou absence d'entretien des locaux à disposition</w:t>
            </w:r>
          </w:p>
        </w:tc>
        <w:tc>
          <w:tcPr>
            <w:tcW w:w="2940" w:type="dxa"/>
            <w:hideMark/>
          </w:tcPr>
          <w:p w14:paraId="2D8AA56D" w14:textId="77777777" w:rsidR="00E026CA" w:rsidRPr="00E026CA" w:rsidRDefault="00E026CA" w:rsidP="000D20AF">
            <w:r w:rsidRPr="00E026CA">
              <w:t>Etat des lieux et constat par le pouvoir adjudicateur</w:t>
            </w:r>
          </w:p>
        </w:tc>
        <w:tc>
          <w:tcPr>
            <w:tcW w:w="3699" w:type="dxa"/>
            <w:hideMark/>
          </w:tcPr>
          <w:p w14:paraId="3AF90C48" w14:textId="77777777" w:rsidR="00E026CA" w:rsidRPr="00E026CA" w:rsidRDefault="00E026CA" w:rsidP="000D20AF">
            <w:r w:rsidRPr="00E026CA">
              <w:t>Frais de remise en état +10%</w:t>
            </w:r>
          </w:p>
        </w:tc>
      </w:tr>
      <w:tr w:rsidR="00E026CA" w:rsidRPr="00E026CA" w14:paraId="527CEEDC" w14:textId="77777777" w:rsidTr="00AE67A0">
        <w:trPr>
          <w:trHeight w:val="290"/>
        </w:trPr>
        <w:tc>
          <w:tcPr>
            <w:tcW w:w="3151" w:type="dxa"/>
            <w:vMerge w:val="restart"/>
            <w:hideMark/>
          </w:tcPr>
          <w:p w14:paraId="13F4703A" w14:textId="77777777" w:rsidR="00E026CA" w:rsidRPr="00E026CA" w:rsidRDefault="00E026CA" w:rsidP="000D20AF">
            <w:r w:rsidRPr="00E026CA">
              <w:t>Non-respect ou défaut des prestations de nettoyage - équipements process</w:t>
            </w:r>
          </w:p>
        </w:tc>
        <w:tc>
          <w:tcPr>
            <w:tcW w:w="2940" w:type="dxa"/>
            <w:hideMark/>
          </w:tcPr>
          <w:p w14:paraId="2382173F" w14:textId="7C9A1803" w:rsidR="00E026CA" w:rsidRPr="00E026CA" w:rsidRDefault="00AE67A0" w:rsidP="000D20AF">
            <w:r w:rsidRPr="00E026CA">
              <w:t>Dépoussiérage</w:t>
            </w:r>
            <w:r w:rsidR="00E026CA" w:rsidRPr="00E026CA">
              <w:t xml:space="preserve"> quotidien de l'ensemble du process</w:t>
            </w:r>
          </w:p>
        </w:tc>
        <w:tc>
          <w:tcPr>
            <w:tcW w:w="3699" w:type="dxa"/>
            <w:vMerge w:val="restart"/>
            <w:vAlign w:val="center"/>
            <w:hideMark/>
          </w:tcPr>
          <w:p w14:paraId="50C28BE0" w14:textId="77777777" w:rsidR="00E026CA" w:rsidRPr="00E026CA" w:rsidRDefault="00E026CA" w:rsidP="000D20AF">
            <w:r w:rsidRPr="00E026CA">
              <w:t>500 € par constat</w:t>
            </w:r>
          </w:p>
        </w:tc>
      </w:tr>
      <w:tr w:rsidR="00E026CA" w:rsidRPr="00E026CA" w14:paraId="5FDFCF7A" w14:textId="77777777" w:rsidTr="00E026CA">
        <w:trPr>
          <w:trHeight w:val="560"/>
        </w:trPr>
        <w:tc>
          <w:tcPr>
            <w:tcW w:w="3151" w:type="dxa"/>
            <w:vMerge/>
            <w:hideMark/>
          </w:tcPr>
          <w:p w14:paraId="1DE449A3" w14:textId="77777777" w:rsidR="00E026CA" w:rsidRPr="00E026CA" w:rsidRDefault="00E026CA" w:rsidP="000D20AF"/>
        </w:tc>
        <w:tc>
          <w:tcPr>
            <w:tcW w:w="2940" w:type="dxa"/>
            <w:hideMark/>
          </w:tcPr>
          <w:p w14:paraId="59E9B247" w14:textId="77777777" w:rsidR="00E026CA" w:rsidRPr="00E026CA" w:rsidRDefault="00E026CA" w:rsidP="000D20AF">
            <w:r w:rsidRPr="00E026CA">
              <w:t>Nettoyage et lavage quotidien des zones de production</w:t>
            </w:r>
          </w:p>
        </w:tc>
        <w:tc>
          <w:tcPr>
            <w:tcW w:w="3699" w:type="dxa"/>
            <w:vMerge/>
            <w:hideMark/>
          </w:tcPr>
          <w:p w14:paraId="7569333E" w14:textId="77777777" w:rsidR="00E026CA" w:rsidRPr="00E026CA" w:rsidRDefault="00E026CA" w:rsidP="000D20AF"/>
        </w:tc>
      </w:tr>
      <w:tr w:rsidR="00E026CA" w:rsidRPr="00E026CA" w14:paraId="342370AF" w14:textId="77777777" w:rsidTr="00E026CA">
        <w:trPr>
          <w:trHeight w:val="580"/>
        </w:trPr>
        <w:tc>
          <w:tcPr>
            <w:tcW w:w="3151" w:type="dxa"/>
            <w:vMerge/>
            <w:hideMark/>
          </w:tcPr>
          <w:p w14:paraId="28276233" w14:textId="77777777" w:rsidR="00E026CA" w:rsidRPr="00E026CA" w:rsidRDefault="00E026CA" w:rsidP="000D20AF"/>
        </w:tc>
        <w:tc>
          <w:tcPr>
            <w:tcW w:w="2940" w:type="dxa"/>
            <w:hideMark/>
          </w:tcPr>
          <w:p w14:paraId="09EF0111" w14:textId="6E2674F9" w:rsidR="00E026CA" w:rsidRPr="00E026CA" w:rsidRDefault="00AE67A0" w:rsidP="000D20AF">
            <w:r w:rsidRPr="00E026CA">
              <w:t>Soufflage</w:t>
            </w:r>
            <w:r w:rsidR="00E026CA" w:rsidRPr="00E026CA">
              <w:t xml:space="preserve"> et dépoussiérage semestriel des parties hautes des zones de production</w:t>
            </w:r>
          </w:p>
        </w:tc>
        <w:tc>
          <w:tcPr>
            <w:tcW w:w="3699" w:type="dxa"/>
            <w:vMerge/>
            <w:hideMark/>
          </w:tcPr>
          <w:p w14:paraId="3108A80B" w14:textId="77777777" w:rsidR="00E026CA" w:rsidRPr="00E026CA" w:rsidRDefault="00E026CA" w:rsidP="000D20AF"/>
        </w:tc>
      </w:tr>
      <w:tr w:rsidR="00E026CA" w:rsidRPr="00E026CA" w14:paraId="72995976" w14:textId="77777777" w:rsidTr="00E026CA">
        <w:trPr>
          <w:trHeight w:val="870"/>
        </w:trPr>
        <w:tc>
          <w:tcPr>
            <w:tcW w:w="3151" w:type="dxa"/>
            <w:vMerge w:val="restart"/>
            <w:hideMark/>
          </w:tcPr>
          <w:p w14:paraId="4EA6B660" w14:textId="77777777" w:rsidR="00E026CA" w:rsidRPr="00E026CA" w:rsidRDefault="00E026CA" w:rsidP="000D20AF">
            <w:r w:rsidRPr="00E026CA">
              <w:t>Non-respect ou défaut des prestations de nettoyage - équipements de lavage industriel et des stations de tri du linge</w:t>
            </w:r>
          </w:p>
        </w:tc>
        <w:tc>
          <w:tcPr>
            <w:tcW w:w="2940" w:type="dxa"/>
            <w:hideMark/>
          </w:tcPr>
          <w:p w14:paraId="6CAF61AE" w14:textId="5FF72B01" w:rsidR="00E026CA" w:rsidRPr="00E026CA" w:rsidRDefault="00AE67A0" w:rsidP="000D20AF">
            <w:r w:rsidRPr="00E026CA">
              <w:t>Tous</w:t>
            </w:r>
            <w:r w:rsidR="00E026CA" w:rsidRPr="00E026CA">
              <w:t xml:space="preserve"> les 15 jours un nettoyage approfondie des tunnels de lavage et essoreuses - chaque vendredi en fin de production</w:t>
            </w:r>
          </w:p>
        </w:tc>
        <w:tc>
          <w:tcPr>
            <w:tcW w:w="3699" w:type="dxa"/>
            <w:vMerge/>
            <w:hideMark/>
          </w:tcPr>
          <w:p w14:paraId="1F434421" w14:textId="77777777" w:rsidR="00E026CA" w:rsidRPr="00E026CA" w:rsidRDefault="00E026CA" w:rsidP="000D20AF"/>
        </w:tc>
      </w:tr>
      <w:tr w:rsidR="00E026CA" w:rsidRPr="00E026CA" w14:paraId="51721B49" w14:textId="77777777" w:rsidTr="00E026CA">
        <w:trPr>
          <w:trHeight w:val="580"/>
        </w:trPr>
        <w:tc>
          <w:tcPr>
            <w:tcW w:w="3151" w:type="dxa"/>
            <w:vMerge/>
            <w:hideMark/>
          </w:tcPr>
          <w:p w14:paraId="0009FBE8" w14:textId="77777777" w:rsidR="00E026CA" w:rsidRPr="00E026CA" w:rsidRDefault="00E026CA" w:rsidP="000D20AF"/>
        </w:tc>
        <w:tc>
          <w:tcPr>
            <w:tcW w:w="2940" w:type="dxa"/>
            <w:hideMark/>
          </w:tcPr>
          <w:p w14:paraId="1A11A676" w14:textId="77777777" w:rsidR="00E026CA" w:rsidRPr="00E026CA" w:rsidRDefault="00E026CA" w:rsidP="000D20AF">
            <w:r w:rsidRPr="00E026CA">
              <w:t>Hebdomadairement, le filtre associé aux tunnels de lavage devra être nettoyer de façon systématique</w:t>
            </w:r>
          </w:p>
        </w:tc>
        <w:tc>
          <w:tcPr>
            <w:tcW w:w="3699" w:type="dxa"/>
            <w:vMerge/>
            <w:hideMark/>
          </w:tcPr>
          <w:p w14:paraId="322BB2AB" w14:textId="77777777" w:rsidR="00E026CA" w:rsidRPr="00E026CA" w:rsidRDefault="00E026CA" w:rsidP="000D20AF"/>
        </w:tc>
      </w:tr>
      <w:tr w:rsidR="00E026CA" w:rsidRPr="00E026CA" w14:paraId="34AF2F86" w14:textId="77777777" w:rsidTr="00E026CA">
        <w:trPr>
          <w:trHeight w:val="580"/>
        </w:trPr>
        <w:tc>
          <w:tcPr>
            <w:tcW w:w="3151" w:type="dxa"/>
            <w:vMerge/>
            <w:hideMark/>
          </w:tcPr>
          <w:p w14:paraId="218DACFE" w14:textId="77777777" w:rsidR="00E026CA" w:rsidRPr="00E026CA" w:rsidRDefault="00E026CA" w:rsidP="000D20AF"/>
        </w:tc>
        <w:tc>
          <w:tcPr>
            <w:tcW w:w="2940" w:type="dxa"/>
            <w:hideMark/>
          </w:tcPr>
          <w:p w14:paraId="53324E36" w14:textId="490FD7DC" w:rsidR="00E026CA" w:rsidRPr="00E026CA" w:rsidRDefault="00AE67A0" w:rsidP="000D20AF">
            <w:r w:rsidRPr="00E026CA">
              <w:t>Les</w:t>
            </w:r>
            <w:r w:rsidR="00E026CA" w:rsidRPr="00E026CA">
              <w:t xml:space="preserve"> stations et les tapis de tri du linge sale seront nettoyés et désinfectés bi mensuellement</w:t>
            </w:r>
          </w:p>
        </w:tc>
        <w:tc>
          <w:tcPr>
            <w:tcW w:w="3699" w:type="dxa"/>
            <w:vMerge/>
            <w:hideMark/>
          </w:tcPr>
          <w:p w14:paraId="4BEF4176" w14:textId="77777777" w:rsidR="00E026CA" w:rsidRPr="00E026CA" w:rsidRDefault="00E026CA" w:rsidP="000D20AF"/>
        </w:tc>
      </w:tr>
      <w:tr w:rsidR="00E026CA" w:rsidRPr="00E026CA" w14:paraId="08EC1FCF" w14:textId="77777777" w:rsidTr="00E026CA">
        <w:trPr>
          <w:trHeight w:val="290"/>
        </w:trPr>
        <w:tc>
          <w:tcPr>
            <w:tcW w:w="3151" w:type="dxa"/>
            <w:hideMark/>
          </w:tcPr>
          <w:p w14:paraId="3FBEF17C" w14:textId="77777777" w:rsidR="00E026CA" w:rsidRPr="00E026CA" w:rsidRDefault="00E026CA" w:rsidP="000D20AF">
            <w:r w:rsidRPr="00E026CA">
              <w:t>Non transmission ou absence des devis dans la facturation</w:t>
            </w:r>
          </w:p>
        </w:tc>
        <w:tc>
          <w:tcPr>
            <w:tcW w:w="2940" w:type="dxa"/>
            <w:noWrap/>
            <w:hideMark/>
          </w:tcPr>
          <w:p w14:paraId="1B42F8AB" w14:textId="77777777" w:rsidR="00E026CA" w:rsidRPr="00E026CA" w:rsidRDefault="00E026CA" w:rsidP="000D20AF">
            <w:r w:rsidRPr="00E026CA">
              <w:t>Demande effectuée par le pouvoir adjudicateur</w:t>
            </w:r>
          </w:p>
        </w:tc>
        <w:tc>
          <w:tcPr>
            <w:tcW w:w="3699" w:type="dxa"/>
            <w:hideMark/>
          </w:tcPr>
          <w:p w14:paraId="734A6AB2" w14:textId="77777777" w:rsidR="00E026CA" w:rsidRPr="00E026CA" w:rsidRDefault="00E026CA" w:rsidP="000D20AF">
            <w:r w:rsidRPr="00E026CA">
              <w:t>150 € par constat</w:t>
            </w:r>
          </w:p>
        </w:tc>
      </w:tr>
      <w:tr w:rsidR="00E026CA" w:rsidRPr="00E026CA" w14:paraId="5D116B40" w14:textId="77777777" w:rsidTr="00AE67A0">
        <w:trPr>
          <w:trHeight w:val="900"/>
        </w:trPr>
        <w:tc>
          <w:tcPr>
            <w:tcW w:w="3151" w:type="dxa"/>
            <w:hideMark/>
          </w:tcPr>
          <w:p w14:paraId="658D0676" w14:textId="77777777" w:rsidR="00E026CA" w:rsidRPr="00E026CA" w:rsidRDefault="00E026CA" w:rsidP="000D20AF">
            <w:r w:rsidRPr="00E026CA">
              <w:t>Non-respect des engagements de consommation d’Energie (gaz, eau)</w:t>
            </w:r>
          </w:p>
        </w:tc>
        <w:tc>
          <w:tcPr>
            <w:tcW w:w="2940" w:type="dxa"/>
            <w:noWrap/>
            <w:vAlign w:val="center"/>
            <w:hideMark/>
          </w:tcPr>
          <w:p w14:paraId="6E3DDAE5" w14:textId="77777777" w:rsidR="00E026CA" w:rsidRPr="00E026CA" w:rsidRDefault="00E026CA" w:rsidP="000D20AF">
            <w:r w:rsidRPr="00E026CA">
              <w:t>Annexe</w:t>
            </w:r>
          </w:p>
        </w:tc>
        <w:tc>
          <w:tcPr>
            <w:tcW w:w="3699" w:type="dxa"/>
            <w:hideMark/>
          </w:tcPr>
          <w:p w14:paraId="560370F6" w14:textId="77777777" w:rsidR="00E026CA" w:rsidRPr="00E026CA" w:rsidRDefault="00E026CA" w:rsidP="000D20AF">
            <w:r w:rsidRPr="00E026CA">
              <w:t>Paiement de l'écart volume x prix par le titulaire</w:t>
            </w:r>
          </w:p>
        </w:tc>
      </w:tr>
      <w:tr w:rsidR="00E026CA" w:rsidRPr="00E026CA" w14:paraId="7B1D6042" w14:textId="77777777" w:rsidTr="00E026CA">
        <w:trPr>
          <w:trHeight w:val="290"/>
        </w:trPr>
        <w:tc>
          <w:tcPr>
            <w:tcW w:w="3151" w:type="dxa"/>
            <w:hideMark/>
          </w:tcPr>
          <w:p w14:paraId="004C66F2" w14:textId="77777777" w:rsidR="00E026CA" w:rsidRPr="00E026CA" w:rsidRDefault="00E026CA" w:rsidP="000D20AF">
            <w:r w:rsidRPr="00E026CA">
              <w:t>Absence de relevé et/ou non-transmission des compteurs</w:t>
            </w:r>
          </w:p>
        </w:tc>
        <w:tc>
          <w:tcPr>
            <w:tcW w:w="2940" w:type="dxa"/>
            <w:noWrap/>
            <w:hideMark/>
          </w:tcPr>
          <w:p w14:paraId="0E160C96" w14:textId="00A8A2F5" w:rsidR="00E026CA" w:rsidRPr="00E026CA" w:rsidRDefault="00AE67A0" w:rsidP="000D20AF">
            <w:r w:rsidRPr="00AE67A0">
              <w:t>Constat du pouvoir adjudicateur</w:t>
            </w:r>
          </w:p>
        </w:tc>
        <w:tc>
          <w:tcPr>
            <w:tcW w:w="3699" w:type="dxa"/>
            <w:hideMark/>
          </w:tcPr>
          <w:p w14:paraId="7EED9295" w14:textId="77777777" w:rsidR="00E026CA" w:rsidRPr="00E026CA" w:rsidRDefault="00E026CA" w:rsidP="000D20AF">
            <w:r w:rsidRPr="00E026CA">
              <w:t>150 € par constat</w:t>
            </w:r>
          </w:p>
        </w:tc>
      </w:tr>
      <w:tr w:rsidR="00E026CA" w:rsidRPr="00E026CA" w14:paraId="5B29ACC9" w14:textId="77777777" w:rsidTr="00E026CA">
        <w:trPr>
          <w:trHeight w:val="290"/>
        </w:trPr>
        <w:tc>
          <w:tcPr>
            <w:tcW w:w="3151" w:type="dxa"/>
            <w:hideMark/>
          </w:tcPr>
          <w:p w14:paraId="3102B93E" w14:textId="77777777" w:rsidR="00E026CA" w:rsidRPr="00E026CA" w:rsidRDefault="00E026CA" w:rsidP="000D20AF">
            <w:r w:rsidRPr="00E026CA">
              <w:t>Absence de tenue de réunion formalisée</w:t>
            </w:r>
          </w:p>
        </w:tc>
        <w:tc>
          <w:tcPr>
            <w:tcW w:w="2940" w:type="dxa"/>
            <w:noWrap/>
            <w:hideMark/>
          </w:tcPr>
          <w:p w14:paraId="50893D57" w14:textId="77777777" w:rsidR="00E026CA" w:rsidRPr="00E026CA" w:rsidRDefault="00E026CA" w:rsidP="000D20AF">
            <w:r w:rsidRPr="00E026CA">
              <w:t>Constat du pouvoir adjudicateur</w:t>
            </w:r>
          </w:p>
        </w:tc>
        <w:tc>
          <w:tcPr>
            <w:tcW w:w="3699" w:type="dxa"/>
            <w:hideMark/>
          </w:tcPr>
          <w:p w14:paraId="3C0306D3" w14:textId="77777777" w:rsidR="00E026CA" w:rsidRPr="00E026CA" w:rsidRDefault="00E026CA" w:rsidP="000D20AF">
            <w:r w:rsidRPr="00E026CA">
              <w:t>150 € par constat</w:t>
            </w:r>
          </w:p>
        </w:tc>
      </w:tr>
      <w:tr w:rsidR="00E026CA" w:rsidRPr="00E026CA" w14:paraId="5AD8988F" w14:textId="77777777" w:rsidTr="00AE67A0">
        <w:trPr>
          <w:trHeight w:val="600"/>
        </w:trPr>
        <w:tc>
          <w:tcPr>
            <w:tcW w:w="3151" w:type="dxa"/>
            <w:hideMark/>
          </w:tcPr>
          <w:p w14:paraId="68D67694" w14:textId="77777777" w:rsidR="00E026CA" w:rsidRPr="00E026CA" w:rsidRDefault="00E026CA" w:rsidP="000D20AF">
            <w:r w:rsidRPr="00E026CA">
              <w:t>Absence de transmission de compte rendu de réunion dans un délai d'1 semaine</w:t>
            </w:r>
          </w:p>
        </w:tc>
        <w:tc>
          <w:tcPr>
            <w:tcW w:w="2940" w:type="dxa"/>
            <w:noWrap/>
            <w:vAlign w:val="center"/>
            <w:hideMark/>
          </w:tcPr>
          <w:p w14:paraId="06900AA0" w14:textId="2577315A" w:rsidR="00E026CA" w:rsidRPr="00E026CA" w:rsidRDefault="00AE67A0" w:rsidP="000D20AF">
            <w:r w:rsidRPr="00AE67A0">
              <w:t>Constat du pouvoir adjudicateur</w:t>
            </w:r>
          </w:p>
        </w:tc>
        <w:tc>
          <w:tcPr>
            <w:tcW w:w="3699" w:type="dxa"/>
            <w:hideMark/>
          </w:tcPr>
          <w:p w14:paraId="5EF43D18" w14:textId="77777777" w:rsidR="00E026CA" w:rsidRPr="00E026CA" w:rsidRDefault="00E026CA" w:rsidP="000D20AF">
            <w:r w:rsidRPr="00E026CA">
              <w:t>150 € par constat</w:t>
            </w:r>
          </w:p>
        </w:tc>
      </w:tr>
      <w:tr w:rsidR="00E026CA" w:rsidRPr="00E026CA" w14:paraId="0A0030B0" w14:textId="77777777" w:rsidTr="00E026CA">
        <w:trPr>
          <w:trHeight w:val="580"/>
        </w:trPr>
        <w:tc>
          <w:tcPr>
            <w:tcW w:w="3151" w:type="dxa"/>
            <w:hideMark/>
          </w:tcPr>
          <w:p w14:paraId="426193CB" w14:textId="77777777" w:rsidR="00E026CA" w:rsidRPr="00E026CA" w:rsidRDefault="00E026CA" w:rsidP="000D20AF">
            <w:r w:rsidRPr="00E026CA">
              <w:t>Absence des suivis et /ou de réalisation des contrôles règlementaires</w:t>
            </w:r>
          </w:p>
        </w:tc>
        <w:tc>
          <w:tcPr>
            <w:tcW w:w="2940" w:type="dxa"/>
            <w:hideMark/>
          </w:tcPr>
          <w:p w14:paraId="346FB787" w14:textId="77777777" w:rsidR="00E026CA" w:rsidRPr="00E026CA" w:rsidRDefault="00E026CA" w:rsidP="000D20AF">
            <w:r w:rsidRPr="00E026CA">
              <w:t>Constat du pouvoir adjudicateur ou d'un organisme de contrôle</w:t>
            </w:r>
          </w:p>
        </w:tc>
        <w:tc>
          <w:tcPr>
            <w:tcW w:w="3699" w:type="dxa"/>
            <w:hideMark/>
          </w:tcPr>
          <w:p w14:paraId="3CE07548" w14:textId="77777777" w:rsidR="00E026CA" w:rsidRPr="00E026CA" w:rsidRDefault="00E026CA" w:rsidP="000D20AF">
            <w:r w:rsidRPr="00E026CA">
              <w:t>1000 € par constat</w:t>
            </w:r>
          </w:p>
        </w:tc>
      </w:tr>
      <w:tr w:rsidR="00E026CA" w:rsidRPr="00E026CA" w14:paraId="6AB85971" w14:textId="77777777" w:rsidTr="00AE67A0">
        <w:trPr>
          <w:trHeight w:val="870"/>
        </w:trPr>
        <w:tc>
          <w:tcPr>
            <w:tcW w:w="3151" w:type="dxa"/>
            <w:hideMark/>
          </w:tcPr>
          <w:p w14:paraId="44588822" w14:textId="77777777" w:rsidR="00E026CA" w:rsidRPr="00E026CA" w:rsidRDefault="00E026CA" w:rsidP="000D20AF">
            <w:r w:rsidRPr="00E026CA">
              <w:t>Non-respect des conditions contractuelles administratives établies par le présent marché (modalités de facturation, non-respect de la remise minimum de prix,...)</w:t>
            </w:r>
          </w:p>
        </w:tc>
        <w:tc>
          <w:tcPr>
            <w:tcW w:w="2940" w:type="dxa"/>
            <w:noWrap/>
            <w:vAlign w:val="center"/>
            <w:hideMark/>
          </w:tcPr>
          <w:p w14:paraId="136B6309" w14:textId="62201F02" w:rsidR="00E026CA" w:rsidRPr="00E026CA" w:rsidRDefault="00AE67A0" w:rsidP="000D20AF">
            <w:r w:rsidRPr="00AE67A0">
              <w:t>Constat du pouvoir adjudicateur</w:t>
            </w:r>
          </w:p>
        </w:tc>
        <w:tc>
          <w:tcPr>
            <w:tcW w:w="3699" w:type="dxa"/>
            <w:hideMark/>
          </w:tcPr>
          <w:p w14:paraId="19C30C37" w14:textId="5BC80AA3" w:rsidR="00E026CA" w:rsidRPr="00E026CA" w:rsidRDefault="00E026CA" w:rsidP="000D20AF">
            <w:r w:rsidRPr="00E026CA">
              <w:t xml:space="preserve">100 € par </w:t>
            </w:r>
            <w:r w:rsidR="001E37FD" w:rsidRPr="00E026CA">
              <w:t>non-respect</w:t>
            </w:r>
            <w:r w:rsidRPr="00E026CA">
              <w:t xml:space="preserve"> constaté</w:t>
            </w:r>
          </w:p>
        </w:tc>
      </w:tr>
      <w:tr w:rsidR="00E026CA" w:rsidRPr="00E026CA" w14:paraId="6D9C3941" w14:textId="77777777" w:rsidTr="00AE67A0">
        <w:trPr>
          <w:trHeight w:val="1160"/>
        </w:trPr>
        <w:tc>
          <w:tcPr>
            <w:tcW w:w="3151" w:type="dxa"/>
            <w:hideMark/>
          </w:tcPr>
          <w:p w14:paraId="3D4C3E7C" w14:textId="77777777" w:rsidR="00E026CA" w:rsidRPr="00E026CA" w:rsidRDefault="00E026CA" w:rsidP="000D20AF">
            <w:r w:rsidRPr="00E026CA">
              <w:t>Non-respect des exigences d'attitude et de tenue du personnel du titulaire</w:t>
            </w:r>
          </w:p>
        </w:tc>
        <w:tc>
          <w:tcPr>
            <w:tcW w:w="2940" w:type="dxa"/>
            <w:noWrap/>
            <w:vAlign w:val="center"/>
            <w:hideMark/>
          </w:tcPr>
          <w:p w14:paraId="3105ED3F" w14:textId="7E9ED110" w:rsidR="00E026CA" w:rsidRPr="00E026CA" w:rsidRDefault="00AE67A0" w:rsidP="000D20AF">
            <w:r w:rsidRPr="00AE67A0">
              <w:t>Constat du pouvoir adjudicateur</w:t>
            </w:r>
          </w:p>
        </w:tc>
        <w:tc>
          <w:tcPr>
            <w:tcW w:w="3699" w:type="dxa"/>
            <w:hideMark/>
          </w:tcPr>
          <w:p w14:paraId="4B6B4754" w14:textId="5EEEE81F" w:rsidR="00E026CA" w:rsidRPr="00E026CA" w:rsidRDefault="00E026CA" w:rsidP="000D20AF">
            <w:r w:rsidRPr="00E026CA">
              <w:t xml:space="preserve">100 € par non-respect constaté (manque EPI, non-respect des consignes de sécurité, </w:t>
            </w:r>
            <w:r w:rsidR="001E37FD" w:rsidRPr="00E026CA">
              <w:t>etc.</w:t>
            </w:r>
            <w:r w:rsidRPr="00E026CA">
              <w:t>)</w:t>
            </w:r>
          </w:p>
        </w:tc>
      </w:tr>
      <w:tr w:rsidR="00E026CA" w:rsidRPr="00E026CA" w14:paraId="3C97A671" w14:textId="77777777" w:rsidTr="00E026CA">
        <w:trPr>
          <w:trHeight w:val="290"/>
        </w:trPr>
        <w:tc>
          <w:tcPr>
            <w:tcW w:w="3151" w:type="dxa"/>
            <w:hideMark/>
          </w:tcPr>
          <w:p w14:paraId="1D4D675B" w14:textId="77777777" w:rsidR="00E026CA" w:rsidRPr="00E026CA" w:rsidRDefault="00E026CA" w:rsidP="000D20AF">
            <w:r w:rsidRPr="00E026CA">
              <w:t>Non-respect des consignes de confidentialité</w:t>
            </w:r>
          </w:p>
        </w:tc>
        <w:tc>
          <w:tcPr>
            <w:tcW w:w="2940" w:type="dxa"/>
            <w:noWrap/>
            <w:hideMark/>
          </w:tcPr>
          <w:p w14:paraId="3D82C189" w14:textId="5C0ADC43" w:rsidR="00E026CA" w:rsidRPr="00E026CA" w:rsidRDefault="00AE67A0" w:rsidP="000D20AF">
            <w:r w:rsidRPr="00AE67A0">
              <w:t>Constat du pouvoir adjudicateur</w:t>
            </w:r>
          </w:p>
        </w:tc>
        <w:tc>
          <w:tcPr>
            <w:tcW w:w="3699" w:type="dxa"/>
            <w:hideMark/>
          </w:tcPr>
          <w:p w14:paraId="5C477671" w14:textId="77777777" w:rsidR="00E026CA" w:rsidRPr="00E026CA" w:rsidRDefault="00E026CA" w:rsidP="000D20AF">
            <w:r w:rsidRPr="00E026CA">
              <w:t>1000 € par constat</w:t>
            </w:r>
          </w:p>
        </w:tc>
      </w:tr>
    </w:tbl>
    <w:p w14:paraId="7DA9A040" w14:textId="5FA941B7" w:rsidR="00895129" w:rsidRPr="000D20AF" w:rsidRDefault="00895129" w:rsidP="000D20AF">
      <w:pPr>
        <w:rPr>
          <w:noProof/>
        </w:rPr>
      </w:pPr>
    </w:p>
    <w:p w14:paraId="7FECA2B9" w14:textId="77777777" w:rsidR="00437D95" w:rsidRPr="00437D95" w:rsidRDefault="00895129" w:rsidP="000D20AF">
      <w:r w:rsidRPr="00437D95">
        <w:t xml:space="preserve">L’application des pénalités exposées est laissée à l’appréciation du </w:t>
      </w:r>
      <w:r w:rsidR="00437D95" w:rsidRPr="00437D95">
        <w:t xml:space="preserve">CHU </w:t>
      </w:r>
      <w:r w:rsidRPr="00437D95">
        <w:t xml:space="preserve">en fonction des justifications apportées par le titulaire du marché. </w:t>
      </w:r>
    </w:p>
    <w:p w14:paraId="5260C747" w14:textId="77777777" w:rsidR="00437D95" w:rsidRPr="00437D95" w:rsidRDefault="00437D95" w:rsidP="000D20AF"/>
    <w:p w14:paraId="1FDE42A7" w14:textId="7AC8AEF3" w:rsidR="00895129" w:rsidRPr="00437D95" w:rsidRDefault="00895129" w:rsidP="000D20AF">
      <w:r w:rsidRPr="00437D95">
        <w:t>Plusieurs pénalités peuvent être cumulées.</w:t>
      </w:r>
    </w:p>
    <w:p w14:paraId="0821A51E" w14:textId="77777777" w:rsidR="00437D95" w:rsidRPr="000D20AF" w:rsidRDefault="00437D95" w:rsidP="000D20AF"/>
    <w:p w14:paraId="2CAFC0F5" w14:textId="77777777" w:rsidR="00895129" w:rsidRPr="00437D95" w:rsidRDefault="00895129" w:rsidP="000D20AF">
      <w:r w:rsidRPr="00437D95">
        <w:t>Le décompte des pénalités est notifié au titulaire, qui est admis à présenter ses observations à l’établissement concerné dans un délai de 7 jours à compter de la notification de ce décompte. Passé ce délai, le titulaire est réputé avoir accepté les pénalités.</w:t>
      </w:r>
    </w:p>
    <w:p w14:paraId="0BAF432C" w14:textId="77777777" w:rsidR="00437D95" w:rsidRPr="00437D95" w:rsidRDefault="00437D95" w:rsidP="000D20AF"/>
    <w:p w14:paraId="6D8A4AFF" w14:textId="77777777" w:rsidR="00895129" w:rsidRPr="00437D95" w:rsidRDefault="00895129" w:rsidP="000D20AF">
      <w:r w:rsidRPr="00437D95">
        <w:t>Tout dépassement de délai au-delà des valeurs contractuelles définies en annexe 3 sera comptabilisé mensuellement par équipement</w:t>
      </w:r>
    </w:p>
    <w:p w14:paraId="5A0DD4CA" w14:textId="77777777" w:rsidR="00437D95" w:rsidRPr="00437D95" w:rsidRDefault="00437D95" w:rsidP="000D20AF"/>
    <w:p w14:paraId="6D6C0A3A" w14:textId="77777777" w:rsidR="00895129" w:rsidRPr="00437D95" w:rsidRDefault="00895129" w:rsidP="000D20AF">
      <w:r w:rsidRPr="00437D95">
        <w:t>Par dérogation à l’article 14 du CCAG-FCS, les pénalités s’appliquent quel que soit leur montant.</w:t>
      </w:r>
    </w:p>
    <w:p w14:paraId="1B7EBD86" w14:textId="77777777" w:rsidR="00C441F8" w:rsidRPr="000D20AF" w:rsidRDefault="00C441F8" w:rsidP="000D20AF"/>
    <w:p w14:paraId="7184C143" w14:textId="20BFD4A4" w:rsidR="00927B25" w:rsidRPr="00DD2EB0" w:rsidRDefault="0077598A" w:rsidP="005A2E65">
      <w:pPr>
        <w:pStyle w:val="Titre2"/>
      </w:pPr>
      <w:bookmarkStart w:id="28" w:name="_Toc201735436"/>
      <w:r w:rsidRPr="00DD2EB0">
        <w:t>1</w:t>
      </w:r>
      <w:r w:rsidR="00B6684F">
        <w:t>3</w:t>
      </w:r>
      <w:r w:rsidRPr="00DD2EB0">
        <w:t>.1 Pénalités de retard</w:t>
      </w:r>
      <w:bookmarkEnd w:id="28"/>
    </w:p>
    <w:p w14:paraId="7184C144" w14:textId="41681A4E" w:rsidR="00927B25" w:rsidRDefault="0077598A" w:rsidP="000D20AF">
      <w:r w:rsidRPr="000D20AF">
        <w:t xml:space="preserve">Lorsque le délai contractuel d'exécution ou de livraison est dépassé, par le fait du titulaire, celui-ci pourra encourir, par jour de retard et sans mise en demeure préalable, une pénalité minimum fixée à 1 000,00 € pendant 1 jour, puis 5 000,00 € par jour </w:t>
      </w:r>
      <w:r w:rsidR="00A223D2" w:rsidRPr="000D20AF">
        <w:t>au-delà</w:t>
      </w:r>
      <w:r w:rsidRPr="000D20AF">
        <w:t>.</w:t>
      </w:r>
    </w:p>
    <w:p w14:paraId="75E1365A" w14:textId="77777777" w:rsidR="0077598A" w:rsidRPr="00DD2EB0" w:rsidRDefault="0077598A" w:rsidP="000D20AF"/>
    <w:p w14:paraId="7184C145" w14:textId="77777777" w:rsidR="00927B25" w:rsidRDefault="0077598A" w:rsidP="000D20AF">
      <w:pPr>
        <w:rPr>
          <w:spacing w:val="-1"/>
        </w:rPr>
      </w:pPr>
      <w:r w:rsidRPr="00DD2EB0">
        <w:rPr>
          <w:spacing w:val="-1"/>
        </w:rPr>
        <w:t>Par dérogation au CCAG, il n'est prévu aucune exonération à l'application des pénalités de retard.</w:t>
      </w:r>
    </w:p>
    <w:p w14:paraId="0E935AAC" w14:textId="77777777" w:rsidR="0077598A" w:rsidRPr="00DD2EB0" w:rsidRDefault="0077598A" w:rsidP="000D20AF"/>
    <w:p w14:paraId="7184C146" w14:textId="05AF0272" w:rsidR="00927B25" w:rsidRPr="00DD2EB0" w:rsidRDefault="0077598A" w:rsidP="005A2E65">
      <w:pPr>
        <w:pStyle w:val="Titre2"/>
      </w:pPr>
      <w:bookmarkStart w:id="29" w:name="_Toc201735437"/>
      <w:r w:rsidRPr="00DD2EB0">
        <w:t>1</w:t>
      </w:r>
      <w:r w:rsidR="00B6684F">
        <w:t>3</w:t>
      </w:r>
      <w:r w:rsidRPr="00DD2EB0">
        <w:t>.2 Pénalité pour travail dissimulé</w:t>
      </w:r>
      <w:bookmarkEnd w:id="29"/>
    </w:p>
    <w:p w14:paraId="7184C147" w14:textId="5DB96213" w:rsidR="00927B25" w:rsidRDefault="0077598A" w:rsidP="0077598A">
      <w:pPr>
        <w:pStyle w:val="Sansinterligne"/>
        <w:rPr>
          <w:lang w:val="fr-FR"/>
        </w:rPr>
      </w:pPr>
      <w:r w:rsidRPr="00DD2EB0">
        <w:rPr>
          <w:lang w:val="fr-FR"/>
        </w:rPr>
        <w:t>Si le titulaire du marché ne s'acquitte pas des formalités mentionnées aux articles L. 8221-3 à L. 8221-5 du code du travail en matière de travail dissimulé, le pouvoir adjudicateur applique une pénalité</w:t>
      </w:r>
      <w:r w:rsidR="000D20AF">
        <w:rPr>
          <w:lang w:val="fr-FR"/>
        </w:rPr>
        <w:t xml:space="preserve"> de 400€ par jour. Le </w:t>
      </w:r>
      <w:r w:rsidRPr="00DD2EB0">
        <w:rPr>
          <w:lang w:val="fr-FR"/>
        </w:rPr>
        <w:t>montant ne pourra toutefois pas excéder celui des amendes encourues en application des articles L. 8224-1, L. 8224-2 et L. 8224-5 du code du travail.</w:t>
      </w:r>
    </w:p>
    <w:p w14:paraId="23C47E64" w14:textId="77777777" w:rsidR="0077598A" w:rsidRPr="00DD2EB0" w:rsidRDefault="0077598A" w:rsidP="000D20AF"/>
    <w:p w14:paraId="7184C148" w14:textId="0B81A042" w:rsidR="00927B25" w:rsidRDefault="0077598A" w:rsidP="005A2E65">
      <w:pPr>
        <w:pStyle w:val="Titre2"/>
      </w:pPr>
      <w:bookmarkStart w:id="30" w:name="_Toc201735438"/>
      <w:r w:rsidRPr="00DD2EB0">
        <w:t>1</w:t>
      </w:r>
      <w:r w:rsidR="00B6684F">
        <w:t>3</w:t>
      </w:r>
      <w:r w:rsidRPr="00DD2EB0">
        <w:t>.3 Autres pénalités spécifiques</w:t>
      </w:r>
      <w:bookmarkEnd w:id="30"/>
    </w:p>
    <w:p w14:paraId="7EB11DAE" w14:textId="77777777" w:rsidR="0077598A" w:rsidRPr="0077598A" w:rsidRDefault="0077598A" w:rsidP="000D20AF"/>
    <w:p w14:paraId="7184C149" w14:textId="6B94CCED" w:rsidR="00927B25" w:rsidRPr="005E57F3" w:rsidRDefault="0077598A" w:rsidP="005E57F3">
      <w:pPr>
        <w:pStyle w:val="Titre3"/>
      </w:pPr>
      <w:bookmarkStart w:id="31" w:name="_Toc201735439"/>
      <w:r w:rsidRPr="005E57F3">
        <w:t>1</w:t>
      </w:r>
      <w:r w:rsidR="00B6684F" w:rsidRPr="005E57F3">
        <w:t>3</w:t>
      </w:r>
      <w:r w:rsidRPr="005E57F3">
        <w:t>.3.1 Pénalités pour indisponibilités de matériel</w:t>
      </w:r>
      <w:bookmarkEnd w:id="31"/>
    </w:p>
    <w:p w14:paraId="7184C14A" w14:textId="77777777" w:rsidR="00927B25" w:rsidRDefault="0077598A" w:rsidP="0077598A">
      <w:pPr>
        <w:pStyle w:val="Sansinterligne"/>
        <w:rPr>
          <w:lang w:val="fr-FR"/>
        </w:rPr>
      </w:pPr>
      <w:r w:rsidRPr="00DD2EB0">
        <w:rPr>
          <w:lang w:val="fr-FR"/>
        </w:rPr>
        <w:t>Deux arrêts successifs (ou plus) qui ne seraient pas séparés d’un délai au moins égal à la durée maximum d’intervention pour un même équipement conduiraient à considérer l’appareil en question en indisponibilité depuis l’heure liée à l’apparition de la première panne.</w:t>
      </w:r>
    </w:p>
    <w:p w14:paraId="1F4EDD70" w14:textId="77777777" w:rsidR="0077598A" w:rsidRPr="00DD2EB0" w:rsidRDefault="0077598A" w:rsidP="0077598A">
      <w:pPr>
        <w:pStyle w:val="Sansinterligne"/>
        <w:rPr>
          <w:lang w:val="fr-FR"/>
        </w:rPr>
      </w:pPr>
    </w:p>
    <w:p w14:paraId="7184C14B" w14:textId="5AD41148" w:rsidR="00927B25" w:rsidRDefault="0077598A" w:rsidP="001B5C9F">
      <w:pPr>
        <w:pStyle w:val="Sansinterligne"/>
        <w:jc w:val="both"/>
        <w:rPr>
          <w:lang w:val="fr-FR"/>
        </w:rPr>
      </w:pPr>
      <w:r w:rsidRPr="00DD2EB0">
        <w:rPr>
          <w:lang w:val="fr-FR"/>
        </w:rPr>
        <w:t xml:space="preserve">La durée d’indisponibilité totale ne serait comptabilisée que pendant les horaires de fonctionnement du </w:t>
      </w:r>
      <w:r w:rsidRPr="000D20AF">
        <w:rPr>
          <w:lang w:val="fr-FR"/>
        </w:rPr>
        <w:t>process</w:t>
      </w:r>
      <w:r w:rsidR="00A223D2" w:rsidRPr="000D20AF">
        <w:rPr>
          <w:lang w:val="fr-FR"/>
        </w:rPr>
        <w:t>.</w:t>
      </w:r>
    </w:p>
    <w:p w14:paraId="08D51072" w14:textId="77777777" w:rsidR="0077598A" w:rsidRPr="00DD2EB0" w:rsidRDefault="0077598A" w:rsidP="001B5C9F">
      <w:pPr>
        <w:pStyle w:val="Sansinterligne"/>
        <w:jc w:val="both"/>
        <w:rPr>
          <w:lang w:val="fr-FR"/>
        </w:rPr>
      </w:pPr>
    </w:p>
    <w:p w14:paraId="7184C14C" w14:textId="77777777" w:rsidR="00927B25" w:rsidRPr="00DD2EB0" w:rsidRDefault="0077598A" w:rsidP="001B5C9F">
      <w:pPr>
        <w:pStyle w:val="Sansinterligne"/>
        <w:jc w:val="both"/>
        <w:rPr>
          <w:spacing w:val="-1"/>
          <w:lang w:val="fr-FR"/>
        </w:rPr>
      </w:pPr>
      <w:r w:rsidRPr="00DD2EB0">
        <w:rPr>
          <w:spacing w:val="-1"/>
          <w:lang w:val="fr-FR"/>
        </w:rPr>
        <w:t>Le délai de remise à disposition court</w:t>
      </w:r>
    </w:p>
    <w:p w14:paraId="7184C14D" w14:textId="4EF2FBF3" w:rsidR="00927B25" w:rsidRPr="007416B4" w:rsidRDefault="004B5E3A" w:rsidP="007416B4">
      <w:pPr>
        <w:pStyle w:val="Sansinterligne"/>
        <w:numPr>
          <w:ilvl w:val="0"/>
          <w:numId w:val="9"/>
        </w:numPr>
        <w:rPr>
          <w:lang w:val="fr-FR"/>
        </w:rPr>
      </w:pPr>
      <w:r>
        <w:rPr>
          <w:lang w:val="fr-FR"/>
        </w:rPr>
        <w:t>A</w:t>
      </w:r>
      <w:r w:rsidR="0077598A" w:rsidRPr="007416B4">
        <w:rPr>
          <w:lang w:val="fr-FR"/>
        </w:rPr>
        <w:t xml:space="preserve"> compter du constat conjoint de l’agent de maîtrise de la blanchisserie </w:t>
      </w:r>
    </w:p>
    <w:p w14:paraId="7184C14E" w14:textId="32FC0655" w:rsidR="00927B25" w:rsidRDefault="004B5E3A" w:rsidP="007416B4">
      <w:pPr>
        <w:pStyle w:val="Sansinterligne"/>
        <w:numPr>
          <w:ilvl w:val="0"/>
          <w:numId w:val="9"/>
        </w:numPr>
        <w:rPr>
          <w:spacing w:val="-1"/>
          <w:lang w:val="fr-FR"/>
        </w:rPr>
      </w:pPr>
      <w:r w:rsidRPr="007416B4">
        <w:rPr>
          <w:lang w:val="fr-FR"/>
        </w:rPr>
        <w:t>Jusqu’à</w:t>
      </w:r>
      <w:r w:rsidR="0077598A" w:rsidRPr="00DD2EB0">
        <w:rPr>
          <w:spacing w:val="-1"/>
          <w:lang w:val="fr-FR"/>
        </w:rPr>
        <w:t xml:space="preserve"> la mise à disposition du matériel concerné.</w:t>
      </w:r>
    </w:p>
    <w:p w14:paraId="0FA453A8" w14:textId="77777777" w:rsidR="0077598A" w:rsidRDefault="0077598A" w:rsidP="001B5C9F">
      <w:pPr>
        <w:pStyle w:val="Sansinterligne"/>
        <w:jc w:val="both"/>
        <w:rPr>
          <w:spacing w:val="-1"/>
          <w:lang w:val="fr-FR"/>
        </w:rPr>
      </w:pPr>
    </w:p>
    <w:p w14:paraId="55DA7E80" w14:textId="13D4F3B1" w:rsidR="00B572CC" w:rsidRPr="00B572CC" w:rsidRDefault="00B572CC" w:rsidP="00B572CC">
      <w:pPr>
        <w:pStyle w:val="Sansinterligne"/>
        <w:jc w:val="both"/>
        <w:rPr>
          <w:lang w:val="fr-FR"/>
        </w:rPr>
      </w:pPr>
      <w:r w:rsidRPr="00B572CC">
        <w:rPr>
          <w:lang w:val="fr-FR"/>
        </w:rPr>
        <w:t>En cas d’indisponibilité supérieure au temps précisé au chapitre 2.3.4 du CCTP, il serait appliqué une pénalité forfaitaire de 1 000€. Cette pénalité serait doublée si l'indisponibilité intervenait un lundi ou mardi.</w:t>
      </w:r>
    </w:p>
    <w:p w14:paraId="6A4D32F9" w14:textId="77777777" w:rsidR="00B572CC" w:rsidRDefault="00B572CC" w:rsidP="001B5C9F">
      <w:pPr>
        <w:pStyle w:val="Sansinterligne"/>
        <w:jc w:val="both"/>
        <w:rPr>
          <w:spacing w:val="-1"/>
          <w:lang w:val="fr-FR"/>
        </w:rPr>
      </w:pPr>
    </w:p>
    <w:p w14:paraId="49D4A494" w14:textId="47CBD68B" w:rsidR="00B572CC" w:rsidRPr="00B572CC" w:rsidRDefault="00B572CC" w:rsidP="001B5C9F">
      <w:pPr>
        <w:pStyle w:val="Sansinterligne"/>
        <w:jc w:val="both"/>
        <w:rPr>
          <w:b/>
          <w:bCs/>
          <w:spacing w:val="-1"/>
          <w:lang w:val="fr-FR"/>
        </w:rPr>
      </w:pPr>
      <w:r w:rsidRPr="00B572CC">
        <w:rPr>
          <w:b/>
          <w:bCs/>
          <w:spacing w:val="-1"/>
          <w:lang w:val="fr-FR"/>
        </w:rPr>
        <w:t>Toute panne supérieure à trois heures donne lieu à la prise en charge des heures supplémentaires du personnel de la blanchisserie et tout délestage chez un autre prestataire est pris en charge financièrement par le titulaire.</w:t>
      </w:r>
    </w:p>
    <w:p w14:paraId="65B35251" w14:textId="77777777" w:rsidR="0077598A" w:rsidRPr="00DD2EB0" w:rsidRDefault="0077598A" w:rsidP="0077598A">
      <w:pPr>
        <w:pStyle w:val="Sansinterligne"/>
        <w:rPr>
          <w:lang w:val="fr-FR"/>
        </w:rPr>
      </w:pPr>
    </w:p>
    <w:p w14:paraId="7184C150" w14:textId="77777777" w:rsidR="00927B25" w:rsidRPr="004B5E3A" w:rsidRDefault="0077598A" w:rsidP="0077598A">
      <w:pPr>
        <w:pStyle w:val="Sansinterligne"/>
        <w:rPr>
          <w:b/>
          <w:bCs/>
          <w:spacing w:val="-4"/>
          <w:u w:val="single"/>
          <w:lang w:val="fr-FR"/>
        </w:rPr>
      </w:pPr>
      <w:r w:rsidRPr="004B5E3A">
        <w:rPr>
          <w:b/>
          <w:bCs/>
          <w:spacing w:val="-4"/>
          <w:u w:val="single"/>
          <w:lang w:val="fr-FR"/>
        </w:rPr>
        <w:t>Dérogations :</w:t>
      </w:r>
    </w:p>
    <w:p w14:paraId="1BB9EB8F" w14:textId="77777777" w:rsidR="0077598A" w:rsidRPr="00DD2EB0" w:rsidRDefault="0077598A" w:rsidP="0077598A">
      <w:pPr>
        <w:pStyle w:val="Sansinterligne"/>
        <w:rPr>
          <w:spacing w:val="-4"/>
          <w:lang w:val="fr-FR"/>
        </w:rPr>
      </w:pPr>
    </w:p>
    <w:p w14:paraId="7184C151" w14:textId="77777777" w:rsidR="00927B25" w:rsidRDefault="0077598A" w:rsidP="0077598A">
      <w:pPr>
        <w:pStyle w:val="Sansinterligne"/>
        <w:rPr>
          <w:lang w:val="fr-FR"/>
        </w:rPr>
      </w:pPr>
      <w:r w:rsidRPr="00DD2EB0">
        <w:rPr>
          <w:lang w:val="fr-FR"/>
        </w:rPr>
        <w:t>Seront assimilés à des cas de force majeure dégageant sa responsabilité tous les évènements exceptionnels non imputables au titulaire et qu’il ne pouvait ni prévoir, ni empêcher, et le mettant en outre dans l’impossibilité de remplir tout ou partie de ses engagements.</w:t>
      </w:r>
    </w:p>
    <w:p w14:paraId="176CA694" w14:textId="77777777" w:rsidR="0077598A" w:rsidRPr="00DD2EB0" w:rsidRDefault="0077598A" w:rsidP="0077598A">
      <w:pPr>
        <w:pStyle w:val="Sansinterligne"/>
        <w:rPr>
          <w:lang w:val="fr-FR"/>
        </w:rPr>
      </w:pPr>
    </w:p>
    <w:p w14:paraId="7184C152" w14:textId="73E8EEB8" w:rsidR="00927B25" w:rsidRDefault="0077598A" w:rsidP="0077598A">
      <w:pPr>
        <w:pStyle w:val="Sansinterligne"/>
        <w:rPr>
          <w:lang w:val="fr-FR"/>
        </w:rPr>
      </w:pPr>
      <w:r w:rsidRPr="00DD2EB0">
        <w:rPr>
          <w:lang w:val="fr-FR"/>
        </w:rPr>
        <w:t xml:space="preserve">Il est entendu </w:t>
      </w:r>
      <w:r w:rsidR="00A223D2" w:rsidRPr="00DD2EB0">
        <w:rPr>
          <w:lang w:val="fr-FR"/>
        </w:rPr>
        <w:t>qu’à</w:t>
      </w:r>
      <w:r w:rsidRPr="00DD2EB0">
        <w:rPr>
          <w:lang w:val="fr-FR"/>
        </w:rPr>
        <w:t xml:space="preserve"> l’occasion de tels évènements, le titulaire rechercherait avec le Centre Hospitalier toutes les mesures à prendre afin d’organiser la poursuite d’une exploitation même partielle, après avoir fixé de nouvelles conditions contractuelles adaptées aux circonstances créées par le cas de force majeure, les pénalités ci-dessus n’étant plus applicables.</w:t>
      </w:r>
    </w:p>
    <w:p w14:paraId="0714E71E" w14:textId="77777777" w:rsidR="00A223D2" w:rsidRPr="00DD2EB0" w:rsidRDefault="00A223D2" w:rsidP="0077598A">
      <w:pPr>
        <w:pStyle w:val="Sansinterligne"/>
        <w:rPr>
          <w:lang w:val="fr-FR"/>
        </w:rPr>
      </w:pPr>
    </w:p>
    <w:p w14:paraId="7184C155" w14:textId="34DA8611" w:rsidR="00927B25" w:rsidRPr="00DD2EB0" w:rsidRDefault="0077598A" w:rsidP="005E57F3">
      <w:pPr>
        <w:pStyle w:val="Titre3"/>
      </w:pPr>
      <w:bookmarkStart w:id="32" w:name="_Toc201735440"/>
      <w:r w:rsidRPr="00DD2EB0">
        <w:t>1</w:t>
      </w:r>
      <w:r w:rsidR="00B6684F">
        <w:t>3</w:t>
      </w:r>
      <w:r w:rsidRPr="00DD2EB0">
        <w:t xml:space="preserve">.3.2 Pénalités pour </w:t>
      </w:r>
      <w:r w:rsidR="00A223D2" w:rsidRPr="00DD2EB0">
        <w:t>non-respect</w:t>
      </w:r>
      <w:r w:rsidRPr="00DD2EB0">
        <w:t xml:space="preserve"> de présence</w:t>
      </w:r>
      <w:bookmarkEnd w:id="32"/>
    </w:p>
    <w:p w14:paraId="7184C156" w14:textId="77777777" w:rsidR="00927B25" w:rsidRDefault="0077598A" w:rsidP="0077598A">
      <w:pPr>
        <w:pStyle w:val="Sansinterligne"/>
        <w:rPr>
          <w:lang w:val="fr-FR"/>
        </w:rPr>
      </w:pPr>
      <w:r w:rsidRPr="00DD2EB0">
        <w:rPr>
          <w:lang w:val="fr-FR"/>
        </w:rPr>
        <w:t>Le titulaire a l’obligation de présence sur le site aux heures indiquées au présent CCTP.</w:t>
      </w:r>
    </w:p>
    <w:p w14:paraId="5A1CF30C" w14:textId="77777777" w:rsidR="0077598A" w:rsidRPr="00DD2EB0" w:rsidRDefault="0077598A" w:rsidP="0077598A">
      <w:pPr>
        <w:pStyle w:val="Sansinterligne"/>
        <w:rPr>
          <w:lang w:val="fr-FR"/>
        </w:rPr>
      </w:pPr>
    </w:p>
    <w:p w14:paraId="7184C157" w14:textId="77777777" w:rsidR="00927B25" w:rsidRPr="00DD2EB0" w:rsidRDefault="0077598A" w:rsidP="0077598A">
      <w:pPr>
        <w:pStyle w:val="Sansinterligne"/>
        <w:rPr>
          <w:lang w:val="fr-FR"/>
        </w:rPr>
      </w:pPr>
      <w:r w:rsidRPr="00FB0DA2">
        <w:rPr>
          <w:lang w:val="fr-FR"/>
        </w:rPr>
        <w:t>En cas de manquement constaté à cette obligation, chaque heure d’absence pourrait faire l’objet d’une pénalité de 1 000 €.</w:t>
      </w:r>
    </w:p>
    <w:p w14:paraId="7184C158" w14:textId="3724BDCF" w:rsidR="00927B25" w:rsidRPr="00DD2EB0" w:rsidRDefault="0077598A" w:rsidP="005A2E65">
      <w:pPr>
        <w:pStyle w:val="Titre1"/>
      </w:pPr>
      <w:bookmarkStart w:id="33" w:name="_Toc201735441"/>
      <w:r w:rsidRPr="00DD2EB0">
        <w:t>1</w:t>
      </w:r>
      <w:r w:rsidR="00B6684F">
        <w:t>4 -</w:t>
      </w:r>
      <w:r w:rsidRPr="00DD2EB0">
        <w:t xml:space="preserve"> Assurances</w:t>
      </w:r>
      <w:bookmarkEnd w:id="33"/>
    </w:p>
    <w:p w14:paraId="7184C159" w14:textId="77777777" w:rsidR="00927B25" w:rsidRPr="00DD2EB0" w:rsidRDefault="0077598A" w:rsidP="0077598A">
      <w:pPr>
        <w:pStyle w:val="Sansinterligne"/>
        <w:rPr>
          <w:lang w:val="fr-FR"/>
        </w:rPr>
      </w:pPr>
      <w:r w:rsidRPr="00DD2EB0">
        <w:rPr>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7184C15A" w14:textId="179283D8" w:rsidR="00927B25" w:rsidRPr="00DD2EB0" w:rsidRDefault="0077598A" w:rsidP="005A2E65">
      <w:pPr>
        <w:pStyle w:val="Titre1"/>
      </w:pPr>
      <w:bookmarkStart w:id="34" w:name="_Toc201735442"/>
      <w:r w:rsidRPr="00DD2EB0">
        <w:t>1</w:t>
      </w:r>
      <w:r w:rsidR="00B6684F">
        <w:t xml:space="preserve">5 - </w:t>
      </w:r>
      <w:r w:rsidRPr="00DD2EB0">
        <w:t>Résiliation</w:t>
      </w:r>
      <w:bookmarkEnd w:id="34"/>
    </w:p>
    <w:p w14:paraId="7184C15B" w14:textId="69D58A49" w:rsidR="00927B25" w:rsidRPr="00DD2EB0" w:rsidRDefault="0077598A" w:rsidP="0077598A">
      <w:pPr>
        <w:pStyle w:val="Sansinterligne"/>
        <w:rPr>
          <w:lang w:val="fr-FR"/>
        </w:rPr>
      </w:pPr>
      <w:r w:rsidRPr="00DD2EB0">
        <w:rPr>
          <w:lang w:val="fr-FR"/>
        </w:rPr>
        <w:t xml:space="preserve">En cas de </w:t>
      </w:r>
      <w:r w:rsidR="00A223D2" w:rsidRPr="00DD2EB0">
        <w:rPr>
          <w:lang w:val="fr-FR"/>
        </w:rPr>
        <w:t>non-respect</w:t>
      </w:r>
      <w:r w:rsidRPr="00DD2EB0">
        <w:rPr>
          <w:lang w:val="fr-FR"/>
        </w:rPr>
        <w:t xml:space="preserve"> des clauses contractuelles, le </w:t>
      </w:r>
      <w:r w:rsidR="00A223D2" w:rsidRPr="00DD2EB0">
        <w:rPr>
          <w:lang w:val="fr-FR"/>
        </w:rPr>
        <w:t>CH</w:t>
      </w:r>
      <w:r w:rsidR="00A223D2">
        <w:rPr>
          <w:lang w:val="fr-FR"/>
        </w:rPr>
        <w:t xml:space="preserve">U </w:t>
      </w:r>
      <w:r w:rsidR="00A223D2" w:rsidRPr="00DD2EB0">
        <w:rPr>
          <w:lang w:val="fr-FR"/>
        </w:rPr>
        <w:t xml:space="preserve">de </w:t>
      </w:r>
      <w:r w:rsidR="00A223D2">
        <w:rPr>
          <w:lang w:val="fr-FR"/>
        </w:rPr>
        <w:t>Clermont Ferrand</w:t>
      </w:r>
      <w:r w:rsidR="00A223D2" w:rsidRPr="00DD2EB0">
        <w:rPr>
          <w:lang w:val="fr-FR"/>
        </w:rPr>
        <w:t xml:space="preserve"> </w:t>
      </w:r>
      <w:r w:rsidRPr="00DD2EB0">
        <w:rPr>
          <w:lang w:val="fr-FR"/>
        </w:rPr>
        <w:t>pourra résilier le marché public sans indemnité après avoir invité le titulaire par lettre recommandée avec accusé de réception à présenter ses observations dans un délai de 15 jours dans les conditions prévues à l’article 41 du CCAG-FCS. La résiliation sera prononcée, le cas échéant, avec exécution des prestations aux frais et risques du titulaire défaillant.</w:t>
      </w:r>
    </w:p>
    <w:p w14:paraId="7184C15C" w14:textId="56C52811" w:rsidR="00927B25" w:rsidRPr="00DD2EB0" w:rsidRDefault="0077598A" w:rsidP="005A2E65">
      <w:pPr>
        <w:pStyle w:val="Titre1"/>
      </w:pPr>
      <w:bookmarkStart w:id="35" w:name="_Toc201735443"/>
      <w:r w:rsidRPr="00DD2EB0">
        <w:t>1</w:t>
      </w:r>
      <w:r w:rsidR="00B6684F">
        <w:t>6 -</w:t>
      </w:r>
      <w:r w:rsidRPr="00DD2EB0">
        <w:t xml:space="preserve"> Exécution du marché aux frais et risques du titulaire</w:t>
      </w:r>
      <w:bookmarkEnd w:id="35"/>
    </w:p>
    <w:p w14:paraId="7184C15D" w14:textId="334B944E" w:rsidR="00927B25" w:rsidRDefault="0077598A" w:rsidP="0077598A">
      <w:pPr>
        <w:pStyle w:val="Sansinterligne"/>
        <w:rPr>
          <w:lang w:val="fr-FR"/>
        </w:rPr>
      </w:pPr>
      <w:r w:rsidRPr="00DD2EB0">
        <w:rPr>
          <w:lang w:val="fr-FR"/>
        </w:rPr>
        <w:t xml:space="preserve">En cas d’inexécution d’une prestation ou de carence dans l’approvisionnement en qualité ou en quantité par le titulaire dans les délais, le </w:t>
      </w:r>
      <w:r w:rsidR="00A223D2" w:rsidRPr="00DD2EB0">
        <w:rPr>
          <w:lang w:val="fr-FR"/>
        </w:rPr>
        <w:t>CH</w:t>
      </w:r>
      <w:r w:rsidR="00A223D2">
        <w:rPr>
          <w:lang w:val="fr-FR"/>
        </w:rPr>
        <w:t xml:space="preserve">U </w:t>
      </w:r>
      <w:r w:rsidR="00A223D2" w:rsidRPr="00DD2EB0">
        <w:rPr>
          <w:lang w:val="fr-FR"/>
        </w:rPr>
        <w:t xml:space="preserve">de </w:t>
      </w:r>
      <w:r w:rsidR="00A223D2">
        <w:rPr>
          <w:lang w:val="fr-FR"/>
        </w:rPr>
        <w:t>Clermont Ferrand</w:t>
      </w:r>
      <w:r w:rsidR="00A223D2" w:rsidRPr="00DD2EB0">
        <w:rPr>
          <w:lang w:val="fr-FR"/>
        </w:rPr>
        <w:t xml:space="preserve"> </w:t>
      </w:r>
      <w:r w:rsidRPr="00DD2EB0">
        <w:rPr>
          <w:lang w:val="fr-FR"/>
        </w:rPr>
        <w:t>pourra en outre faire procéder par un tiers à l’exécution de ladite prestation ou s’approvisionner auprès du fournisseur de son choix aux frais et risques du titulaire, conformément à l’article 45 du CCAG/FCS.</w:t>
      </w:r>
    </w:p>
    <w:p w14:paraId="5B03954B" w14:textId="77777777" w:rsidR="0077598A" w:rsidRPr="00DD2EB0" w:rsidRDefault="0077598A" w:rsidP="0077598A">
      <w:pPr>
        <w:pStyle w:val="Sansinterligne"/>
        <w:rPr>
          <w:lang w:val="fr-FR"/>
        </w:rPr>
      </w:pPr>
    </w:p>
    <w:p w14:paraId="7184C15E" w14:textId="77777777" w:rsidR="00927B25" w:rsidRPr="00DD2EB0" w:rsidRDefault="0077598A" w:rsidP="0077598A">
      <w:pPr>
        <w:pStyle w:val="Sansinterligne"/>
        <w:rPr>
          <w:lang w:val="fr-FR"/>
        </w:rPr>
      </w:pPr>
      <w:r w:rsidRPr="00DD2EB0">
        <w:rPr>
          <w:lang w:val="fr-FR"/>
        </w:rPr>
        <w:t>En cas de différence de prix au détriment de l’établissement, celle-ci sera imputée d’office sur le montant du plus prochain paiement effectué au profit du titulaire.</w:t>
      </w:r>
    </w:p>
    <w:p w14:paraId="7184C15F" w14:textId="42A2C984" w:rsidR="00927B25" w:rsidRPr="00DD2EB0" w:rsidRDefault="0077598A" w:rsidP="005A2E65">
      <w:pPr>
        <w:pStyle w:val="Titre1"/>
      </w:pPr>
      <w:bookmarkStart w:id="36" w:name="_Toc201735444"/>
      <w:r w:rsidRPr="00DD2EB0">
        <w:t>1</w:t>
      </w:r>
      <w:r w:rsidR="00B6684F">
        <w:t xml:space="preserve">7 - </w:t>
      </w:r>
      <w:r w:rsidRPr="00DD2EB0">
        <w:t>Clause de réexamen</w:t>
      </w:r>
      <w:bookmarkEnd w:id="36"/>
    </w:p>
    <w:p w14:paraId="7184C160" w14:textId="6D20361C" w:rsidR="00927B25" w:rsidRDefault="0077598A" w:rsidP="0077598A">
      <w:pPr>
        <w:pStyle w:val="Sansinterligne"/>
        <w:rPr>
          <w:lang w:val="fr-FR"/>
        </w:rPr>
      </w:pPr>
      <w:r w:rsidRPr="00DD2EB0">
        <w:rPr>
          <w:lang w:val="fr-FR"/>
        </w:rPr>
        <w:t xml:space="preserve">En application des articles R.2194-1 et R.2194-6 1° du code de la commande publique, le marché pourra être modifié, après accord du </w:t>
      </w:r>
      <w:r w:rsidR="00A223D2" w:rsidRPr="00DD2EB0">
        <w:rPr>
          <w:lang w:val="fr-FR"/>
        </w:rPr>
        <w:t>CH</w:t>
      </w:r>
      <w:r w:rsidR="00A223D2">
        <w:rPr>
          <w:lang w:val="fr-FR"/>
        </w:rPr>
        <w:t xml:space="preserve">U </w:t>
      </w:r>
      <w:r w:rsidR="00A223D2" w:rsidRPr="00DD2EB0">
        <w:rPr>
          <w:lang w:val="fr-FR"/>
        </w:rPr>
        <w:t xml:space="preserve">de </w:t>
      </w:r>
      <w:r w:rsidR="00A223D2">
        <w:rPr>
          <w:lang w:val="fr-FR"/>
        </w:rPr>
        <w:t>Clermont Ferrand</w:t>
      </w:r>
      <w:r w:rsidRPr="00DD2EB0">
        <w:rPr>
          <w:lang w:val="fr-FR"/>
        </w:rPr>
        <w:t>, lorsque le titulaire initial cède son marché à un tiers à condition que cette cession n’entraîne pas d’autres modifications substantielles et ne soit pas effectuée dans le but de soustraire le marché aux obligations de publicité et de mise en concurrence.</w:t>
      </w:r>
    </w:p>
    <w:p w14:paraId="79AA5E4E" w14:textId="77777777" w:rsidR="00A223D2" w:rsidRPr="00DD2EB0" w:rsidRDefault="00A223D2" w:rsidP="0077598A">
      <w:pPr>
        <w:pStyle w:val="Sansinterligne"/>
        <w:rPr>
          <w:lang w:val="fr-FR"/>
        </w:rPr>
      </w:pPr>
    </w:p>
    <w:p w14:paraId="7184C161" w14:textId="5A5E22FC" w:rsidR="00927B25" w:rsidRDefault="0077598A" w:rsidP="0077598A">
      <w:pPr>
        <w:pStyle w:val="Sansinterligne"/>
        <w:rPr>
          <w:lang w:val="fr-FR"/>
        </w:rPr>
      </w:pPr>
      <w:r w:rsidRPr="00DD2EB0">
        <w:rPr>
          <w:lang w:val="fr-FR"/>
        </w:rPr>
        <w:t xml:space="preserve">Le nouveau titulaire doit remplir les conditions qui avaient été fixées par l’acheteur pour la participation à la procédure de passation du marché initial. Un avenant sera alors signé entre le titulaire initial, le nouveau titulaire et le </w:t>
      </w:r>
      <w:r w:rsidR="00A223D2" w:rsidRPr="00DD2EB0">
        <w:rPr>
          <w:lang w:val="fr-FR"/>
        </w:rPr>
        <w:t>CH</w:t>
      </w:r>
      <w:r w:rsidR="00A223D2">
        <w:rPr>
          <w:lang w:val="fr-FR"/>
        </w:rPr>
        <w:t xml:space="preserve">U </w:t>
      </w:r>
      <w:r w:rsidR="00A223D2" w:rsidRPr="00DD2EB0">
        <w:rPr>
          <w:lang w:val="fr-FR"/>
        </w:rPr>
        <w:t xml:space="preserve">de </w:t>
      </w:r>
      <w:r w:rsidR="00A223D2">
        <w:rPr>
          <w:lang w:val="fr-FR"/>
        </w:rPr>
        <w:t>Clermont Ferrand</w:t>
      </w:r>
      <w:r w:rsidRPr="00DD2EB0">
        <w:rPr>
          <w:lang w:val="fr-FR"/>
        </w:rPr>
        <w:t xml:space="preserve">. En cas de désaccord du </w:t>
      </w:r>
      <w:r w:rsidR="00A223D2" w:rsidRPr="00DD2EB0">
        <w:rPr>
          <w:lang w:val="fr-FR"/>
        </w:rPr>
        <w:t>CH</w:t>
      </w:r>
      <w:r w:rsidR="00A223D2">
        <w:rPr>
          <w:lang w:val="fr-FR"/>
        </w:rPr>
        <w:t xml:space="preserve">U </w:t>
      </w:r>
      <w:r w:rsidR="00A223D2" w:rsidRPr="00DD2EB0">
        <w:rPr>
          <w:lang w:val="fr-FR"/>
        </w:rPr>
        <w:t xml:space="preserve">de </w:t>
      </w:r>
      <w:r w:rsidR="00A223D2">
        <w:rPr>
          <w:lang w:val="fr-FR"/>
        </w:rPr>
        <w:t>Clermont Ferrand</w:t>
      </w:r>
      <w:r w:rsidRPr="00DD2EB0">
        <w:rPr>
          <w:lang w:val="fr-FR"/>
        </w:rPr>
        <w:t>, le marché sera résilié aux torts du titulaire initial.</w:t>
      </w:r>
    </w:p>
    <w:p w14:paraId="7CFB30FC" w14:textId="77777777" w:rsidR="00A223D2" w:rsidRPr="00DD2EB0" w:rsidRDefault="00A223D2" w:rsidP="0077598A">
      <w:pPr>
        <w:pStyle w:val="Sansinterligne"/>
        <w:rPr>
          <w:lang w:val="fr-FR"/>
        </w:rPr>
      </w:pPr>
    </w:p>
    <w:p w14:paraId="7184C162" w14:textId="6875D9CA" w:rsidR="00927B25" w:rsidRDefault="0077598A" w:rsidP="0077598A">
      <w:pPr>
        <w:pStyle w:val="Sansinterligne"/>
        <w:rPr>
          <w:lang w:val="fr-FR"/>
        </w:rPr>
      </w:pPr>
      <w:r w:rsidRPr="00DD2EB0">
        <w:rPr>
          <w:lang w:val="fr-FR"/>
        </w:rPr>
        <w:t xml:space="preserve">En application de l’article R.2194-1 du code de la commande publique, le marché pourra être modifié, à la demande du </w:t>
      </w:r>
      <w:r w:rsidR="00A223D2" w:rsidRPr="00DD2EB0">
        <w:rPr>
          <w:lang w:val="fr-FR"/>
        </w:rPr>
        <w:t>CH</w:t>
      </w:r>
      <w:r w:rsidR="00A223D2">
        <w:rPr>
          <w:lang w:val="fr-FR"/>
        </w:rPr>
        <w:t xml:space="preserve">U </w:t>
      </w:r>
      <w:r w:rsidR="00A223D2" w:rsidRPr="00DD2EB0">
        <w:rPr>
          <w:lang w:val="fr-FR"/>
        </w:rPr>
        <w:t xml:space="preserve">de </w:t>
      </w:r>
      <w:r w:rsidR="00A223D2">
        <w:rPr>
          <w:lang w:val="fr-FR"/>
        </w:rPr>
        <w:t>Clermont Ferrand</w:t>
      </w:r>
      <w:r w:rsidR="00A223D2" w:rsidRPr="00DD2EB0">
        <w:rPr>
          <w:lang w:val="fr-FR"/>
        </w:rPr>
        <w:t xml:space="preserve"> </w:t>
      </w:r>
      <w:r w:rsidRPr="00DD2EB0">
        <w:rPr>
          <w:lang w:val="fr-FR"/>
        </w:rPr>
        <w:t>en tant qu’établissement support du GHT, lorsque l’intégration d’une ou plusieurs prestations est devenue nécessaire et à condition que cette modification n’entraîne pas d’autres modifications substantielles.</w:t>
      </w:r>
    </w:p>
    <w:p w14:paraId="43A27DA2" w14:textId="55F624B2" w:rsidR="00A223D2" w:rsidRDefault="00A223D2" w:rsidP="0077598A">
      <w:pPr>
        <w:pStyle w:val="Sansinterligne"/>
        <w:rPr>
          <w:lang w:val="fr-FR"/>
        </w:rPr>
      </w:pPr>
    </w:p>
    <w:p w14:paraId="4E551206" w14:textId="4C3FEA2E" w:rsidR="002F300F" w:rsidRDefault="00214769" w:rsidP="0077598A">
      <w:pPr>
        <w:pStyle w:val="Sansinterligne"/>
        <w:rPr>
          <w:lang w:val="fr-FR"/>
        </w:rPr>
      </w:pPr>
      <w:r>
        <w:rPr>
          <w:lang w:val="fr-FR"/>
        </w:rPr>
        <w:t>Le marché pourra être modifié en cas d’évolution significative du tonnage de linge à traiter (Cf. 1.2 du CCTP) entrainant des modifications des plages horaires de présence et l’augmentation des effectifs.</w:t>
      </w:r>
    </w:p>
    <w:p w14:paraId="3438871F" w14:textId="77777777" w:rsidR="00A437CE" w:rsidRPr="00DD2EB0" w:rsidRDefault="00A437CE" w:rsidP="0077598A">
      <w:pPr>
        <w:pStyle w:val="Sansinterligne"/>
        <w:rPr>
          <w:lang w:val="fr-FR"/>
        </w:rPr>
      </w:pPr>
    </w:p>
    <w:p w14:paraId="7184C163" w14:textId="77777777" w:rsidR="00927B25" w:rsidRDefault="0077598A" w:rsidP="0077598A">
      <w:pPr>
        <w:pStyle w:val="Sansinterligne"/>
        <w:rPr>
          <w:lang w:val="fr-FR"/>
        </w:rPr>
      </w:pPr>
      <w:r w:rsidRPr="00DD2EB0">
        <w:rPr>
          <w:lang w:val="fr-FR"/>
        </w:rPr>
        <w:t>En cas d’accord du titulaire du marché public, la modification sera formalisée par un avenant ou par une décision de modification unilatérale du marché.</w:t>
      </w:r>
    </w:p>
    <w:p w14:paraId="7184C166" w14:textId="43738723" w:rsidR="00927B25" w:rsidRPr="00DD2EB0" w:rsidRDefault="0077598A" w:rsidP="005A2E65">
      <w:pPr>
        <w:pStyle w:val="Titre1"/>
        <w:rPr>
          <w:w w:val="95"/>
        </w:rPr>
      </w:pPr>
      <w:bookmarkStart w:id="37" w:name="_Toc201735445"/>
      <w:r w:rsidRPr="00DD2EB0">
        <w:rPr>
          <w:w w:val="95"/>
        </w:rPr>
        <w:t>1</w:t>
      </w:r>
      <w:r w:rsidR="00B6684F">
        <w:rPr>
          <w:w w:val="95"/>
        </w:rPr>
        <w:t xml:space="preserve">8 - </w:t>
      </w:r>
      <w:r w:rsidRPr="00DD2EB0">
        <w:rPr>
          <w:w w:val="95"/>
        </w:rPr>
        <w:t>Litiges et langues</w:t>
      </w:r>
      <w:bookmarkEnd w:id="37"/>
    </w:p>
    <w:p w14:paraId="7184C167" w14:textId="112837A8" w:rsidR="00927B25" w:rsidRDefault="0077598A" w:rsidP="0077598A">
      <w:pPr>
        <w:pStyle w:val="Sansinterligne"/>
        <w:rPr>
          <w:lang w:val="fr-FR"/>
        </w:rPr>
      </w:pPr>
      <w:r w:rsidRPr="00DD2EB0">
        <w:rPr>
          <w:lang w:val="fr-FR"/>
        </w:rPr>
        <w:t xml:space="preserve">En cas de litige, seul le Tribunal administratif </w:t>
      </w:r>
      <w:r w:rsidR="00097B0E">
        <w:rPr>
          <w:lang w:val="fr-FR"/>
        </w:rPr>
        <w:t>Clermont Ferrand</w:t>
      </w:r>
      <w:r w:rsidR="00097B0E" w:rsidRPr="00DD2EB0">
        <w:rPr>
          <w:lang w:val="fr-FR"/>
        </w:rPr>
        <w:t xml:space="preserve"> </w:t>
      </w:r>
      <w:r w:rsidRPr="00DD2EB0">
        <w:rPr>
          <w:lang w:val="fr-FR"/>
        </w:rPr>
        <w:t>est compétent en la matière.</w:t>
      </w:r>
    </w:p>
    <w:p w14:paraId="03EFF493" w14:textId="77777777" w:rsidR="0077598A" w:rsidRPr="00DD2EB0" w:rsidRDefault="0077598A" w:rsidP="0077598A">
      <w:pPr>
        <w:pStyle w:val="Sansinterligne"/>
        <w:rPr>
          <w:lang w:val="fr-FR"/>
        </w:rPr>
      </w:pPr>
    </w:p>
    <w:p w14:paraId="7184C168" w14:textId="0BB1CD01" w:rsidR="00E62987" w:rsidRDefault="0077598A" w:rsidP="0077598A">
      <w:pPr>
        <w:pStyle w:val="Sansinterligne"/>
        <w:rPr>
          <w:lang w:val="fr-FR"/>
        </w:rPr>
      </w:pPr>
      <w:r w:rsidRPr="00DD2EB0">
        <w:rPr>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686F2A2C" w14:textId="77777777" w:rsidR="00927B25" w:rsidRPr="00DD2EB0" w:rsidRDefault="00927B25" w:rsidP="0077598A">
      <w:pPr>
        <w:pStyle w:val="Sansinterligne"/>
        <w:rPr>
          <w:lang w:val="fr-FR"/>
        </w:rPr>
      </w:pPr>
    </w:p>
    <w:p w14:paraId="7184C169" w14:textId="7B5B33F7" w:rsidR="00927B25" w:rsidRPr="00DD2EB0" w:rsidRDefault="00B6684F" w:rsidP="005A2E65">
      <w:pPr>
        <w:pStyle w:val="Titre1"/>
      </w:pPr>
      <w:bookmarkStart w:id="38" w:name="_Toc201735446"/>
      <w:r>
        <w:t xml:space="preserve">19 - </w:t>
      </w:r>
      <w:r w:rsidR="0077598A" w:rsidRPr="00DD2EB0">
        <w:t>Dérogations au C.C.A.G. F.C.S.</w:t>
      </w:r>
      <w:bookmarkEnd w:id="38"/>
    </w:p>
    <w:p w14:paraId="62F89494" w14:textId="77777777" w:rsidR="002C6B7A" w:rsidRPr="00DD2EB0" w:rsidRDefault="002C6B7A" w:rsidP="000D20AF"/>
    <w:p w14:paraId="28BEBAB2" w14:textId="77777777" w:rsidR="00E62987" w:rsidRDefault="0077598A" w:rsidP="002C6B7A">
      <w:pPr>
        <w:pStyle w:val="Sansinterligne"/>
        <w:rPr>
          <w:rFonts w:cs="Calibri"/>
          <w:lang w:val="fr-FR"/>
        </w:rPr>
      </w:pPr>
      <w:r w:rsidRPr="00DD2EB0">
        <w:rPr>
          <w:rFonts w:cs="Calibri"/>
          <w:lang w:val="fr-FR"/>
        </w:rPr>
        <w:t xml:space="preserve">L’article 5 déroge à l’article 4.1du C.C.A.G. F.C.S. </w:t>
      </w:r>
    </w:p>
    <w:p w14:paraId="5F1500E0" w14:textId="4B2E3FE1" w:rsidR="00E62987" w:rsidRDefault="00E62987" w:rsidP="002C6B7A">
      <w:pPr>
        <w:pStyle w:val="Sansinterligne"/>
        <w:rPr>
          <w:rFonts w:cs="Calibri"/>
          <w:lang w:val="fr-FR"/>
        </w:rPr>
      </w:pPr>
      <w:r w:rsidRPr="00E62987">
        <w:rPr>
          <w:rFonts w:cs="Calibri"/>
          <w:lang w:val="fr-FR"/>
        </w:rPr>
        <w:t>L’article 1</w:t>
      </w:r>
      <w:r>
        <w:rPr>
          <w:rFonts w:cs="Calibri"/>
          <w:lang w:val="fr-FR"/>
        </w:rPr>
        <w:t>3</w:t>
      </w:r>
      <w:r w:rsidRPr="00E62987">
        <w:rPr>
          <w:rFonts w:cs="Calibri"/>
          <w:lang w:val="fr-FR"/>
        </w:rPr>
        <w:t xml:space="preserve"> déroge à l’article </w:t>
      </w:r>
      <w:r>
        <w:rPr>
          <w:rFonts w:cs="Calibri"/>
          <w:lang w:val="fr-FR"/>
        </w:rPr>
        <w:t>14</w:t>
      </w:r>
      <w:r w:rsidRPr="00E62987">
        <w:rPr>
          <w:rFonts w:cs="Calibri"/>
          <w:lang w:val="fr-FR"/>
        </w:rPr>
        <w:t xml:space="preserve"> du C.C.A.G. F.C.S.</w:t>
      </w:r>
    </w:p>
    <w:p w14:paraId="7184C16C" w14:textId="7A5B2477" w:rsidR="00927B25" w:rsidRPr="00DD2EB0" w:rsidRDefault="00927B25" w:rsidP="000D20AF"/>
    <w:sectPr w:rsidR="00927B25" w:rsidRPr="00DD2EB0">
      <w:type w:val="continuous"/>
      <w:pgSz w:w="11909" w:h="16838"/>
      <w:pgMar w:top="1660" w:right="1050" w:bottom="482" w:left="105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60BC0" w14:textId="77777777" w:rsidR="00E213CA" w:rsidRDefault="00E213CA" w:rsidP="000D20AF">
      <w:r>
        <w:separator/>
      </w:r>
    </w:p>
  </w:endnote>
  <w:endnote w:type="continuationSeparator" w:id="0">
    <w:p w14:paraId="4B497107" w14:textId="77777777" w:rsidR="00E213CA" w:rsidRDefault="00E213CA" w:rsidP="000D2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Aptos">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Aptos Display">
    <w:altName w:val="Arial"/>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Arial Narrow">
    <w:charset w:val="00"/>
    <w:pitch w:val="variable"/>
    <w:family w:val="swiss"/>
    <w:panose1 w:val="02020603050405020304"/>
  </w:font>
  <w:font w:name="Tahoma">
    <w:charset w:val="00"/>
    <w:pitch w:val="variable"/>
    <w:family w:val="swiss"/>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0605716"/>
      <w:docPartObj>
        <w:docPartGallery w:val="Page Numbers (Bottom of Page)"/>
        <w:docPartUnique/>
      </w:docPartObj>
    </w:sdtPr>
    <w:sdtContent>
      <w:p w14:paraId="343EB32C" w14:textId="77777777" w:rsidR="00E213CA" w:rsidRDefault="00E213CA" w:rsidP="000D20AF">
        <w:pPr>
          <w:pStyle w:val="Pieddepage"/>
        </w:pPr>
      </w:p>
      <w:tbl>
        <w:tblPr>
          <w:tblW w:w="9781" w:type="dxa"/>
          <w:tblLayout w:type="fixed"/>
          <w:tblCellMar>
            <w:left w:w="10" w:type="dxa"/>
            <w:right w:w="10" w:type="dxa"/>
          </w:tblCellMar>
          <w:tblLook w:val="0000" w:firstRow="0" w:lastRow="0" w:firstColumn="0" w:lastColumn="0" w:noHBand="0" w:noVBand="0"/>
        </w:tblPr>
        <w:tblGrid>
          <w:gridCol w:w="5387"/>
          <w:gridCol w:w="3023"/>
          <w:gridCol w:w="1371"/>
        </w:tblGrid>
        <w:tr w:rsidR="00E213CA" w:rsidRPr="00214769" w14:paraId="54B79DD2" w14:textId="77777777" w:rsidTr="005C048F">
          <w:tc>
            <w:tcPr>
              <w:tcW w:w="5387" w:type="dxa"/>
              <w:tcBorders>
                <w:top w:val="single" w:sz="4" w:space="0" w:color="000000"/>
              </w:tcBorders>
              <w:tcMar>
                <w:top w:w="0" w:type="dxa"/>
                <w:left w:w="70" w:type="dxa"/>
                <w:bottom w:w="0" w:type="dxa"/>
                <w:right w:w="70" w:type="dxa"/>
              </w:tcMar>
            </w:tcPr>
            <w:p w14:paraId="646C6078" w14:textId="75A1914E" w:rsidR="00E213CA" w:rsidRPr="00214769" w:rsidRDefault="00E213CA" w:rsidP="000D20AF">
              <w:pPr>
                <w:pStyle w:val="Pieddepage"/>
                <w:rPr>
                  <w:sz w:val="16"/>
                  <w:szCs w:val="16"/>
                </w:rPr>
              </w:pPr>
              <w:r w:rsidRPr="00214769">
                <w:rPr>
                  <w:sz w:val="16"/>
                  <w:szCs w:val="16"/>
                </w:rPr>
                <w:t>Cahier des Clauses Administratives Particulières (CCAP)</w:t>
              </w:r>
            </w:p>
          </w:tc>
          <w:tc>
            <w:tcPr>
              <w:tcW w:w="3023" w:type="dxa"/>
              <w:tcBorders>
                <w:top w:val="single" w:sz="4" w:space="0" w:color="000000"/>
              </w:tcBorders>
              <w:tcMar>
                <w:top w:w="0" w:type="dxa"/>
                <w:left w:w="70" w:type="dxa"/>
                <w:bottom w:w="0" w:type="dxa"/>
                <w:right w:w="70" w:type="dxa"/>
              </w:tcMar>
            </w:tcPr>
            <w:p w14:paraId="2CBDD25B" w14:textId="77777777" w:rsidR="00E213CA" w:rsidRPr="00214769" w:rsidRDefault="00E213CA" w:rsidP="000D20AF">
              <w:pPr>
                <w:pStyle w:val="Pieddepage"/>
                <w:rPr>
                  <w:sz w:val="16"/>
                  <w:szCs w:val="16"/>
                </w:rPr>
              </w:pPr>
            </w:p>
          </w:tc>
          <w:tc>
            <w:tcPr>
              <w:tcW w:w="1371" w:type="dxa"/>
              <w:tcBorders>
                <w:top w:val="single" w:sz="4" w:space="0" w:color="000000"/>
              </w:tcBorders>
              <w:tcMar>
                <w:top w:w="0" w:type="dxa"/>
                <w:left w:w="70" w:type="dxa"/>
                <w:bottom w:w="0" w:type="dxa"/>
                <w:right w:w="70" w:type="dxa"/>
              </w:tcMar>
            </w:tcPr>
            <w:p w14:paraId="093BC314" w14:textId="22F7117C" w:rsidR="00E213CA" w:rsidRPr="00214769" w:rsidRDefault="00E213CA" w:rsidP="000D20AF">
              <w:pPr>
                <w:pStyle w:val="Pieddepage"/>
                <w:rPr>
                  <w:sz w:val="16"/>
                  <w:szCs w:val="16"/>
                </w:rPr>
              </w:pPr>
              <w:r w:rsidRPr="00214769">
                <w:rPr>
                  <w:sz w:val="16"/>
                  <w:szCs w:val="16"/>
                </w:rPr>
                <w:t xml:space="preserve">Page </w:t>
              </w:r>
              <w:r w:rsidRPr="00214769">
                <w:rPr>
                  <w:sz w:val="16"/>
                  <w:szCs w:val="16"/>
                </w:rPr>
                <w:fldChar w:fldCharType="begin"/>
              </w:r>
              <w:r w:rsidRPr="00214769">
                <w:rPr>
                  <w:sz w:val="16"/>
                  <w:szCs w:val="16"/>
                </w:rPr>
                <w:instrText xml:space="preserve"> PAGE </w:instrText>
              </w:r>
              <w:r w:rsidRPr="00214769">
                <w:rPr>
                  <w:sz w:val="16"/>
                  <w:szCs w:val="16"/>
                </w:rPr>
                <w:fldChar w:fldCharType="separate"/>
              </w:r>
              <w:r w:rsidR="00376B2F">
                <w:rPr>
                  <w:noProof/>
                  <w:sz w:val="16"/>
                  <w:szCs w:val="16"/>
                </w:rPr>
                <w:t>7</w:t>
              </w:r>
              <w:r w:rsidRPr="00214769">
                <w:rPr>
                  <w:sz w:val="16"/>
                  <w:szCs w:val="16"/>
                </w:rPr>
                <w:fldChar w:fldCharType="end"/>
              </w:r>
              <w:r w:rsidRPr="00214769">
                <w:rPr>
                  <w:sz w:val="16"/>
                  <w:szCs w:val="16"/>
                </w:rPr>
                <w:t xml:space="preserve"> sur </w:t>
              </w:r>
              <w:r w:rsidRPr="00214769">
                <w:rPr>
                  <w:sz w:val="16"/>
                  <w:szCs w:val="16"/>
                </w:rPr>
                <w:fldChar w:fldCharType="begin"/>
              </w:r>
              <w:r w:rsidRPr="00214769">
                <w:rPr>
                  <w:sz w:val="16"/>
                  <w:szCs w:val="16"/>
                </w:rPr>
                <w:instrText xml:space="preserve"> NUMPAGES </w:instrText>
              </w:r>
              <w:r w:rsidRPr="00214769">
                <w:rPr>
                  <w:sz w:val="16"/>
                  <w:szCs w:val="16"/>
                </w:rPr>
                <w:fldChar w:fldCharType="separate"/>
              </w:r>
              <w:r w:rsidR="00376B2F">
                <w:rPr>
                  <w:noProof/>
                  <w:sz w:val="16"/>
                  <w:szCs w:val="16"/>
                </w:rPr>
                <w:t>14</w:t>
              </w:r>
              <w:r w:rsidRPr="00214769">
                <w:rPr>
                  <w:sz w:val="16"/>
                  <w:szCs w:val="16"/>
                </w:rPr>
                <w:fldChar w:fldCharType="end"/>
              </w:r>
            </w:p>
          </w:tc>
        </w:tr>
      </w:tbl>
      <w:p w14:paraId="78813226" w14:textId="53600B70" w:rsidR="00E213CA" w:rsidRDefault="00E213CA" w:rsidP="000D20AF">
        <w:pPr>
          <w:pStyle w:val="Pieddepag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A0C42" w14:textId="77777777" w:rsidR="00E213CA" w:rsidRDefault="00E213CA" w:rsidP="000D20AF"/>
  </w:footnote>
  <w:footnote w:type="continuationSeparator" w:id="0">
    <w:p w14:paraId="478135CB" w14:textId="77777777" w:rsidR="00E213CA" w:rsidRDefault="00E213CA" w:rsidP="000D20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73346"/>
    <w:multiLevelType w:val="multilevel"/>
    <w:tmpl w:val="6F52389A"/>
    <w:lvl w:ilvl="0">
      <w:numFmt w:val="bullet"/>
      <w:lvlText w:val="o"/>
      <w:lvlJc w:val="left"/>
      <w:pPr>
        <w:tabs>
          <w:tab w:val="left" w:pos="360"/>
        </w:tabs>
      </w:pPr>
      <w:rPr>
        <w:rFonts w:ascii="Courier New" w:eastAsia="Courier New" w:hAnsi="Courier New"/>
        <w:color w:val="000000"/>
        <w:spacing w:val="0"/>
        <w:w w:val="100"/>
        <w:sz w:val="18"/>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933E76"/>
    <w:multiLevelType w:val="hybridMultilevel"/>
    <w:tmpl w:val="F0F8FF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544801"/>
    <w:multiLevelType w:val="hybridMultilevel"/>
    <w:tmpl w:val="069E5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5740AF"/>
    <w:multiLevelType w:val="hybridMultilevel"/>
    <w:tmpl w:val="7CBA4ADA"/>
    <w:lvl w:ilvl="0" w:tplc="1DA495C0">
      <w:numFmt w:val="bullet"/>
      <w:lvlText w:val="-"/>
      <w:lvlJc w:val="left"/>
      <w:pPr>
        <w:ind w:left="1068" w:hanging="708"/>
      </w:pPr>
      <w:rPr>
        <w:rFonts w:ascii="Calibri" w:eastAsia="PMingLiU"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DE1862"/>
    <w:multiLevelType w:val="hybridMultilevel"/>
    <w:tmpl w:val="4B4AAF2E"/>
    <w:lvl w:ilvl="0" w:tplc="1DA495C0">
      <w:numFmt w:val="bullet"/>
      <w:lvlText w:val="-"/>
      <w:lvlJc w:val="left"/>
      <w:pPr>
        <w:ind w:left="1068" w:hanging="708"/>
      </w:pPr>
      <w:rPr>
        <w:rFonts w:ascii="Calibri" w:eastAsia="PMingLiU"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867C6E"/>
    <w:multiLevelType w:val="hybridMultilevel"/>
    <w:tmpl w:val="42E00A18"/>
    <w:lvl w:ilvl="0" w:tplc="040C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09A468D"/>
    <w:multiLevelType w:val="multilevel"/>
    <w:tmpl w:val="AFC6AF1A"/>
    <w:lvl w:ilvl="0">
      <w:numFmt w:val="bullet"/>
      <w:lvlText w:val="·"/>
      <w:lvlJc w:val="left"/>
      <w:pPr>
        <w:tabs>
          <w:tab w:val="left" w:pos="360"/>
        </w:tabs>
      </w:pPr>
      <w:rPr>
        <w:rFonts w:ascii="Symbol" w:eastAsia="Symbol" w:hAnsi="Symbol"/>
        <w:color w:val="000000"/>
        <w:spacing w:val="0"/>
        <w:w w:val="100"/>
        <w:sz w:val="18"/>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D02943"/>
    <w:multiLevelType w:val="hybridMultilevel"/>
    <w:tmpl w:val="226842CE"/>
    <w:lvl w:ilvl="0" w:tplc="040C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2ED7D38"/>
    <w:multiLevelType w:val="hybridMultilevel"/>
    <w:tmpl w:val="523AE59A"/>
    <w:lvl w:ilvl="0" w:tplc="1DA495C0">
      <w:numFmt w:val="bullet"/>
      <w:lvlText w:val="-"/>
      <w:lvlJc w:val="left"/>
      <w:pPr>
        <w:ind w:left="1068" w:hanging="708"/>
      </w:pPr>
      <w:rPr>
        <w:rFonts w:ascii="Calibri" w:eastAsia="PMingLiU"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0535EB"/>
    <w:multiLevelType w:val="hybridMultilevel"/>
    <w:tmpl w:val="66B48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5944BBD"/>
    <w:multiLevelType w:val="hybridMultilevel"/>
    <w:tmpl w:val="88FCA4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B06A34"/>
    <w:multiLevelType w:val="hybridMultilevel"/>
    <w:tmpl w:val="36ACC84A"/>
    <w:lvl w:ilvl="0" w:tplc="040C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E496B0D"/>
    <w:multiLevelType w:val="hybridMultilevel"/>
    <w:tmpl w:val="720222A4"/>
    <w:lvl w:ilvl="0" w:tplc="C7F467E6">
      <w:start w:val="2"/>
      <w:numFmt w:val="bullet"/>
      <w:lvlText w:val="-"/>
      <w:lvlJc w:val="left"/>
      <w:pPr>
        <w:ind w:left="1068" w:hanging="708"/>
      </w:pPr>
      <w:rPr>
        <w:rFonts w:ascii="Calibri" w:eastAsia="Arial Narrow"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FA7CFA"/>
    <w:multiLevelType w:val="hybridMultilevel"/>
    <w:tmpl w:val="4412B5D2"/>
    <w:lvl w:ilvl="0" w:tplc="1DA495C0">
      <w:numFmt w:val="bullet"/>
      <w:lvlText w:val="-"/>
      <w:lvlJc w:val="left"/>
      <w:pPr>
        <w:ind w:left="1068" w:hanging="708"/>
      </w:pPr>
      <w:rPr>
        <w:rFonts w:ascii="Calibri" w:eastAsia="PMingLiU"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9C2404"/>
    <w:multiLevelType w:val="hybridMultilevel"/>
    <w:tmpl w:val="F1421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A7619F"/>
    <w:multiLevelType w:val="multilevel"/>
    <w:tmpl w:val="DC38EB86"/>
    <w:lvl w:ilvl="0">
      <w:start w:val="1"/>
      <w:numFmt w:val="decimal"/>
      <w:lvlText w:val="%1)"/>
      <w:lvlJc w:val="left"/>
      <w:pPr>
        <w:tabs>
          <w:tab w:val="left" w:pos="288"/>
        </w:tabs>
      </w:pPr>
      <w:rPr>
        <w:rFonts w:ascii="Verdana" w:eastAsia="Verdana" w:hAnsi="Verdana"/>
        <w:color w:val="000000"/>
        <w:spacing w:val="0"/>
        <w:w w:val="100"/>
        <w:sz w:val="18"/>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0A6681"/>
    <w:multiLevelType w:val="hybridMultilevel"/>
    <w:tmpl w:val="4D508812"/>
    <w:lvl w:ilvl="0" w:tplc="1DA495C0">
      <w:numFmt w:val="bullet"/>
      <w:lvlText w:val="-"/>
      <w:lvlJc w:val="left"/>
      <w:pPr>
        <w:ind w:left="1068" w:hanging="708"/>
      </w:pPr>
      <w:rPr>
        <w:rFonts w:ascii="Calibri" w:eastAsia="PMingLiU"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5"/>
  </w:num>
  <w:num w:numId="4">
    <w:abstractNumId w:val="9"/>
  </w:num>
  <w:num w:numId="5">
    <w:abstractNumId w:val="13"/>
  </w:num>
  <w:num w:numId="6">
    <w:abstractNumId w:val="14"/>
  </w:num>
  <w:num w:numId="7">
    <w:abstractNumId w:val="12"/>
  </w:num>
  <w:num w:numId="8">
    <w:abstractNumId w:val="7"/>
  </w:num>
  <w:num w:numId="9">
    <w:abstractNumId w:val="2"/>
  </w:num>
  <w:num w:numId="10">
    <w:abstractNumId w:val="10"/>
  </w:num>
  <w:num w:numId="11">
    <w:abstractNumId w:val="8"/>
  </w:num>
  <w:num w:numId="12">
    <w:abstractNumId w:val="4"/>
  </w:num>
  <w:num w:numId="13">
    <w:abstractNumId w:val="16"/>
  </w:num>
  <w:num w:numId="14">
    <w:abstractNumId w:val="3"/>
  </w:num>
  <w:num w:numId="15">
    <w:abstractNumId w:val="5"/>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B25"/>
    <w:rsid w:val="00007AB6"/>
    <w:rsid w:val="00014280"/>
    <w:rsid w:val="00097B0E"/>
    <w:rsid w:val="000B5F85"/>
    <w:rsid w:val="000D20AF"/>
    <w:rsid w:val="000F3ACF"/>
    <w:rsid w:val="001227A2"/>
    <w:rsid w:val="00176136"/>
    <w:rsid w:val="00184A41"/>
    <w:rsid w:val="001B5C9F"/>
    <w:rsid w:val="001C7321"/>
    <w:rsid w:val="001E37FD"/>
    <w:rsid w:val="00214769"/>
    <w:rsid w:val="00271D64"/>
    <w:rsid w:val="002B73AC"/>
    <w:rsid w:val="002C6B7A"/>
    <w:rsid w:val="002E62F2"/>
    <w:rsid w:val="002F300F"/>
    <w:rsid w:val="00345447"/>
    <w:rsid w:val="00376B2F"/>
    <w:rsid w:val="003A7FF0"/>
    <w:rsid w:val="003F5D54"/>
    <w:rsid w:val="00437D95"/>
    <w:rsid w:val="004439E7"/>
    <w:rsid w:val="00484222"/>
    <w:rsid w:val="004B5E3A"/>
    <w:rsid w:val="004C5401"/>
    <w:rsid w:val="005424EF"/>
    <w:rsid w:val="005A2E65"/>
    <w:rsid w:val="005A5D8F"/>
    <w:rsid w:val="005C048F"/>
    <w:rsid w:val="005E1DB9"/>
    <w:rsid w:val="005E57F3"/>
    <w:rsid w:val="006066F9"/>
    <w:rsid w:val="00607FC6"/>
    <w:rsid w:val="00613FAE"/>
    <w:rsid w:val="0061798D"/>
    <w:rsid w:val="006358D9"/>
    <w:rsid w:val="006B2278"/>
    <w:rsid w:val="00714513"/>
    <w:rsid w:val="0072734A"/>
    <w:rsid w:val="00734246"/>
    <w:rsid w:val="00734A3A"/>
    <w:rsid w:val="007367B7"/>
    <w:rsid w:val="007416B4"/>
    <w:rsid w:val="007455F2"/>
    <w:rsid w:val="0077598A"/>
    <w:rsid w:val="00783399"/>
    <w:rsid w:val="007A3978"/>
    <w:rsid w:val="007A7357"/>
    <w:rsid w:val="007B220A"/>
    <w:rsid w:val="007E65BD"/>
    <w:rsid w:val="007F5BB8"/>
    <w:rsid w:val="0082112E"/>
    <w:rsid w:val="008357D6"/>
    <w:rsid w:val="00895129"/>
    <w:rsid w:val="008D4D14"/>
    <w:rsid w:val="008E488F"/>
    <w:rsid w:val="00927B25"/>
    <w:rsid w:val="00930F43"/>
    <w:rsid w:val="0093761F"/>
    <w:rsid w:val="009418EB"/>
    <w:rsid w:val="00954AF2"/>
    <w:rsid w:val="009B78C2"/>
    <w:rsid w:val="009D3CD4"/>
    <w:rsid w:val="009E5C2E"/>
    <w:rsid w:val="009F12AF"/>
    <w:rsid w:val="00A0164A"/>
    <w:rsid w:val="00A02AE4"/>
    <w:rsid w:val="00A115CD"/>
    <w:rsid w:val="00A223D2"/>
    <w:rsid w:val="00A437CE"/>
    <w:rsid w:val="00A4535B"/>
    <w:rsid w:val="00A46559"/>
    <w:rsid w:val="00A650F2"/>
    <w:rsid w:val="00AA4195"/>
    <w:rsid w:val="00AE67A0"/>
    <w:rsid w:val="00B354F1"/>
    <w:rsid w:val="00B3684D"/>
    <w:rsid w:val="00B473C4"/>
    <w:rsid w:val="00B54441"/>
    <w:rsid w:val="00B572CC"/>
    <w:rsid w:val="00B6684F"/>
    <w:rsid w:val="00B85C5E"/>
    <w:rsid w:val="00BE07A0"/>
    <w:rsid w:val="00C04933"/>
    <w:rsid w:val="00C441F8"/>
    <w:rsid w:val="00CC3593"/>
    <w:rsid w:val="00CE7366"/>
    <w:rsid w:val="00D178C4"/>
    <w:rsid w:val="00DB7C17"/>
    <w:rsid w:val="00DD2EB0"/>
    <w:rsid w:val="00E026CA"/>
    <w:rsid w:val="00E12571"/>
    <w:rsid w:val="00E1572C"/>
    <w:rsid w:val="00E213CA"/>
    <w:rsid w:val="00E54F47"/>
    <w:rsid w:val="00E560E9"/>
    <w:rsid w:val="00E62987"/>
    <w:rsid w:val="00EE571C"/>
    <w:rsid w:val="00F40339"/>
    <w:rsid w:val="00F7348F"/>
    <w:rsid w:val="00FB0927"/>
    <w:rsid w:val="00FB0DA2"/>
    <w:rsid w:val="00FF64A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4C06D"/>
  <w15:docId w15:val="{5AA0997E-FA3D-44F4-9588-0CB613DE7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0AF"/>
    <w:pPr>
      <w:jc w:val="both"/>
    </w:pPr>
    <w:rPr>
      <w:rFonts w:ascii="Calibri" w:hAnsi="Calibri"/>
      <w:lang w:val="fr-FR"/>
    </w:rPr>
  </w:style>
  <w:style w:type="paragraph" w:styleId="Titre1">
    <w:name w:val="heading 1"/>
    <w:basedOn w:val="Normal"/>
    <w:next w:val="Normal"/>
    <w:link w:val="Titre1Car"/>
    <w:uiPriority w:val="9"/>
    <w:qFormat/>
    <w:rsid w:val="005A2E65"/>
    <w:pPr>
      <w:keepNext/>
      <w:keepLines/>
      <w:spacing w:before="240"/>
      <w:outlineLvl w:val="0"/>
    </w:pPr>
    <w:rPr>
      <w:rFonts w:ascii="Segoe UI" w:eastAsiaTheme="majorEastAsia" w:hAnsi="Segoe UI" w:cs="Segoe UI"/>
      <w:b/>
      <w:bCs/>
      <w:sz w:val="28"/>
      <w:szCs w:val="28"/>
    </w:rPr>
  </w:style>
  <w:style w:type="paragraph" w:styleId="Titre2">
    <w:name w:val="heading 2"/>
    <w:basedOn w:val="Normal"/>
    <w:next w:val="Normal"/>
    <w:link w:val="Titre2Car"/>
    <w:uiPriority w:val="9"/>
    <w:unhideWhenUsed/>
    <w:qFormat/>
    <w:rsid w:val="005A2E65"/>
    <w:pPr>
      <w:keepNext/>
      <w:keepLines/>
      <w:spacing w:before="40"/>
      <w:outlineLvl w:val="1"/>
    </w:pPr>
    <w:rPr>
      <w:rFonts w:ascii="Segoe UI" w:eastAsiaTheme="majorEastAsia" w:hAnsi="Segoe UI" w:cs="Segoe UI"/>
      <w:b/>
      <w:bCs/>
      <w:sz w:val="24"/>
      <w:szCs w:val="24"/>
    </w:rPr>
  </w:style>
  <w:style w:type="paragraph" w:styleId="Titre3">
    <w:name w:val="heading 3"/>
    <w:basedOn w:val="Normal"/>
    <w:next w:val="Normal"/>
    <w:link w:val="Titre3Car"/>
    <w:uiPriority w:val="9"/>
    <w:unhideWhenUsed/>
    <w:qFormat/>
    <w:rsid w:val="005E57F3"/>
    <w:pPr>
      <w:keepNext/>
      <w:keepLines/>
      <w:spacing w:before="40"/>
      <w:outlineLvl w:val="2"/>
    </w:pPr>
    <w:rPr>
      <w:rFonts w:ascii="Segoe UI" w:eastAsiaTheme="majorEastAsia" w:hAnsi="Segoe UI" w:cs="Segoe UI"/>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C6B7A"/>
    <w:pPr>
      <w:ind w:left="720"/>
      <w:contextualSpacing/>
    </w:pPr>
  </w:style>
  <w:style w:type="character" w:customStyle="1" w:styleId="Titre1Car">
    <w:name w:val="Titre 1 Car"/>
    <w:basedOn w:val="Policepardfaut"/>
    <w:link w:val="Titre1"/>
    <w:uiPriority w:val="9"/>
    <w:rsid w:val="005A2E65"/>
    <w:rPr>
      <w:rFonts w:ascii="Segoe UI" w:eastAsiaTheme="majorEastAsia" w:hAnsi="Segoe UI" w:cs="Segoe UI"/>
      <w:b/>
      <w:bCs/>
      <w:sz w:val="28"/>
      <w:szCs w:val="28"/>
      <w:lang w:val="fr-FR"/>
    </w:rPr>
  </w:style>
  <w:style w:type="character" w:customStyle="1" w:styleId="Titre2Car">
    <w:name w:val="Titre 2 Car"/>
    <w:basedOn w:val="Policepardfaut"/>
    <w:link w:val="Titre2"/>
    <w:uiPriority w:val="9"/>
    <w:rsid w:val="005A2E65"/>
    <w:rPr>
      <w:rFonts w:ascii="Segoe UI" w:eastAsiaTheme="majorEastAsia" w:hAnsi="Segoe UI" w:cs="Segoe UI"/>
      <w:b/>
      <w:bCs/>
      <w:sz w:val="24"/>
      <w:szCs w:val="24"/>
      <w:lang w:val="fr-FR"/>
    </w:rPr>
  </w:style>
  <w:style w:type="character" w:customStyle="1" w:styleId="Titre3Car">
    <w:name w:val="Titre 3 Car"/>
    <w:basedOn w:val="Policepardfaut"/>
    <w:link w:val="Titre3"/>
    <w:uiPriority w:val="9"/>
    <w:rsid w:val="005E57F3"/>
    <w:rPr>
      <w:rFonts w:ascii="Segoe UI" w:eastAsiaTheme="majorEastAsia" w:hAnsi="Segoe UI" w:cs="Segoe UI"/>
      <w:b/>
      <w:bCs/>
      <w:sz w:val="24"/>
      <w:szCs w:val="24"/>
      <w:lang w:val="fr-FR"/>
    </w:rPr>
  </w:style>
  <w:style w:type="paragraph" w:styleId="Sansinterligne">
    <w:name w:val="No Spacing"/>
    <w:uiPriority w:val="1"/>
    <w:qFormat/>
    <w:rsid w:val="0077598A"/>
    <w:rPr>
      <w:rFonts w:ascii="Calibri" w:hAnsi="Calibri"/>
    </w:rPr>
  </w:style>
  <w:style w:type="paragraph" w:styleId="En-ttedetabledesmatires">
    <w:name w:val="TOC Heading"/>
    <w:basedOn w:val="Titre1"/>
    <w:next w:val="Normal"/>
    <w:uiPriority w:val="39"/>
    <w:unhideWhenUsed/>
    <w:qFormat/>
    <w:rsid w:val="002C6B7A"/>
    <w:pPr>
      <w:spacing w:line="259" w:lineRule="auto"/>
      <w:outlineLvl w:val="9"/>
    </w:pPr>
    <w:rPr>
      <w:lang w:eastAsia="fr-FR"/>
    </w:rPr>
  </w:style>
  <w:style w:type="paragraph" w:styleId="TM1">
    <w:name w:val="toc 1"/>
    <w:basedOn w:val="Normal"/>
    <w:next w:val="Normal"/>
    <w:autoRedefine/>
    <w:uiPriority w:val="39"/>
    <w:unhideWhenUsed/>
    <w:rsid w:val="002C6B7A"/>
    <w:pPr>
      <w:spacing w:before="360" w:after="360"/>
      <w:jc w:val="left"/>
    </w:pPr>
    <w:rPr>
      <w:rFonts w:asciiTheme="minorHAnsi" w:hAnsiTheme="minorHAnsi"/>
      <w:b/>
      <w:bCs/>
      <w:caps/>
      <w:u w:val="single"/>
    </w:rPr>
  </w:style>
  <w:style w:type="paragraph" w:styleId="TM2">
    <w:name w:val="toc 2"/>
    <w:basedOn w:val="Normal"/>
    <w:next w:val="Normal"/>
    <w:autoRedefine/>
    <w:uiPriority w:val="39"/>
    <w:unhideWhenUsed/>
    <w:rsid w:val="002C6B7A"/>
    <w:pPr>
      <w:jc w:val="left"/>
    </w:pPr>
    <w:rPr>
      <w:rFonts w:asciiTheme="minorHAnsi" w:hAnsiTheme="minorHAnsi"/>
      <w:b/>
      <w:bCs/>
      <w:smallCaps/>
    </w:rPr>
  </w:style>
  <w:style w:type="paragraph" w:styleId="TM3">
    <w:name w:val="toc 3"/>
    <w:basedOn w:val="Normal"/>
    <w:next w:val="Normal"/>
    <w:autoRedefine/>
    <w:uiPriority w:val="39"/>
    <w:unhideWhenUsed/>
    <w:rsid w:val="002C6B7A"/>
    <w:pPr>
      <w:jc w:val="left"/>
    </w:pPr>
    <w:rPr>
      <w:rFonts w:asciiTheme="minorHAnsi" w:hAnsiTheme="minorHAnsi"/>
      <w:smallCaps/>
    </w:rPr>
  </w:style>
  <w:style w:type="character" w:styleId="Lienhypertexte">
    <w:name w:val="Hyperlink"/>
    <w:basedOn w:val="Policepardfaut"/>
    <w:uiPriority w:val="99"/>
    <w:unhideWhenUsed/>
    <w:rsid w:val="002C6B7A"/>
    <w:rPr>
      <w:color w:val="467886" w:themeColor="hyperlink"/>
      <w:u w:val="single"/>
    </w:rPr>
  </w:style>
  <w:style w:type="paragraph" w:styleId="En-tte">
    <w:name w:val="header"/>
    <w:basedOn w:val="Normal"/>
    <w:link w:val="En-tteCar"/>
    <w:uiPriority w:val="99"/>
    <w:unhideWhenUsed/>
    <w:rsid w:val="005C048F"/>
    <w:pPr>
      <w:tabs>
        <w:tab w:val="center" w:pos="4536"/>
        <w:tab w:val="right" w:pos="9072"/>
      </w:tabs>
    </w:pPr>
  </w:style>
  <w:style w:type="character" w:customStyle="1" w:styleId="En-tteCar">
    <w:name w:val="En-tête Car"/>
    <w:basedOn w:val="Policepardfaut"/>
    <w:link w:val="En-tte"/>
    <w:uiPriority w:val="99"/>
    <w:rsid w:val="005C048F"/>
  </w:style>
  <w:style w:type="paragraph" w:styleId="Pieddepage">
    <w:name w:val="footer"/>
    <w:basedOn w:val="Normal"/>
    <w:link w:val="PieddepageCar"/>
    <w:uiPriority w:val="99"/>
    <w:unhideWhenUsed/>
    <w:rsid w:val="005C048F"/>
    <w:pPr>
      <w:tabs>
        <w:tab w:val="center" w:pos="4536"/>
        <w:tab w:val="right" w:pos="9072"/>
      </w:tabs>
    </w:pPr>
  </w:style>
  <w:style w:type="character" w:customStyle="1" w:styleId="PieddepageCar">
    <w:name w:val="Pied de page Car"/>
    <w:basedOn w:val="Policepardfaut"/>
    <w:link w:val="Pieddepage"/>
    <w:uiPriority w:val="99"/>
    <w:rsid w:val="005C048F"/>
  </w:style>
  <w:style w:type="character" w:styleId="Marquedecommentaire">
    <w:name w:val="annotation reference"/>
    <w:basedOn w:val="Policepardfaut"/>
    <w:uiPriority w:val="99"/>
    <w:semiHidden/>
    <w:unhideWhenUsed/>
    <w:rsid w:val="00A650F2"/>
    <w:rPr>
      <w:sz w:val="16"/>
      <w:szCs w:val="16"/>
    </w:rPr>
  </w:style>
  <w:style w:type="paragraph" w:styleId="Commentaire">
    <w:name w:val="annotation text"/>
    <w:basedOn w:val="Normal"/>
    <w:link w:val="CommentaireCar"/>
    <w:uiPriority w:val="99"/>
    <w:unhideWhenUsed/>
    <w:rsid w:val="00A650F2"/>
    <w:rPr>
      <w:sz w:val="20"/>
      <w:szCs w:val="20"/>
    </w:rPr>
  </w:style>
  <w:style w:type="character" w:customStyle="1" w:styleId="CommentaireCar">
    <w:name w:val="Commentaire Car"/>
    <w:basedOn w:val="Policepardfaut"/>
    <w:link w:val="Commentaire"/>
    <w:uiPriority w:val="99"/>
    <w:rsid w:val="00A650F2"/>
    <w:rPr>
      <w:sz w:val="20"/>
      <w:szCs w:val="20"/>
    </w:rPr>
  </w:style>
  <w:style w:type="paragraph" w:styleId="Objetducommentaire">
    <w:name w:val="annotation subject"/>
    <w:basedOn w:val="Commentaire"/>
    <w:next w:val="Commentaire"/>
    <w:link w:val="ObjetducommentaireCar"/>
    <w:uiPriority w:val="99"/>
    <w:semiHidden/>
    <w:unhideWhenUsed/>
    <w:rsid w:val="00A650F2"/>
    <w:rPr>
      <w:b/>
      <w:bCs/>
    </w:rPr>
  </w:style>
  <w:style w:type="character" w:customStyle="1" w:styleId="ObjetducommentaireCar">
    <w:name w:val="Objet du commentaire Car"/>
    <w:basedOn w:val="CommentaireCar"/>
    <w:link w:val="Objetducommentaire"/>
    <w:uiPriority w:val="99"/>
    <w:semiHidden/>
    <w:rsid w:val="00A650F2"/>
    <w:rPr>
      <w:b/>
      <w:bCs/>
      <w:sz w:val="20"/>
      <w:szCs w:val="20"/>
    </w:rPr>
  </w:style>
  <w:style w:type="paragraph" w:styleId="Textedebulles">
    <w:name w:val="Balloon Text"/>
    <w:basedOn w:val="Normal"/>
    <w:link w:val="TextedebullesCar"/>
    <w:uiPriority w:val="99"/>
    <w:semiHidden/>
    <w:unhideWhenUsed/>
    <w:rsid w:val="00A650F2"/>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50F2"/>
    <w:rPr>
      <w:rFonts w:ascii="Segoe UI" w:hAnsi="Segoe UI" w:cs="Segoe UI"/>
      <w:sz w:val="18"/>
      <w:szCs w:val="18"/>
    </w:rPr>
  </w:style>
  <w:style w:type="table" w:styleId="Grilledutableau">
    <w:name w:val="Table Grid"/>
    <w:basedOn w:val="TableauNormal"/>
    <w:uiPriority w:val="39"/>
    <w:rsid w:val="00E026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4">
    <w:name w:val="toc 4"/>
    <w:basedOn w:val="Normal"/>
    <w:next w:val="Normal"/>
    <w:autoRedefine/>
    <w:uiPriority w:val="39"/>
    <w:unhideWhenUsed/>
    <w:rsid w:val="00B473C4"/>
    <w:pPr>
      <w:jc w:val="left"/>
    </w:pPr>
    <w:rPr>
      <w:rFonts w:asciiTheme="minorHAnsi" w:hAnsiTheme="minorHAnsi"/>
    </w:rPr>
  </w:style>
  <w:style w:type="paragraph" w:styleId="TM5">
    <w:name w:val="toc 5"/>
    <w:basedOn w:val="Normal"/>
    <w:next w:val="Normal"/>
    <w:autoRedefine/>
    <w:uiPriority w:val="39"/>
    <w:unhideWhenUsed/>
    <w:rsid w:val="00B473C4"/>
    <w:pPr>
      <w:jc w:val="left"/>
    </w:pPr>
    <w:rPr>
      <w:rFonts w:asciiTheme="minorHAnsi" w:hAnsiTheme="minorHAnsi"/>
    </w:rPr>
  </w:style>
  <w:style w:type="paragraph" w:styleId="TM6">
    <w:name w:val="toc 6"/>
    <w:basedOn w:val="Normal"/>
    <w:next w:val="Normal"/>
    <w:autoRedefine/>
    <w:uiPriority w:val="39"/>
    <w:unhideWhenUsed/>
    <w:rsid w:val="00B473C4"/>
    <w:pPr>
      <w:jc w:val="left"/>
    </w:pPr>
    <w:rPr>
      <w:rFonts w:asciiTheme="minorHAnsi" w:hAnsiTheme="minorHAnsi"/>
    </w:rPr>
  </w:style>
  <w:style w:type="paragraph" w:styleId="TM7">
    <w:name w:val="toc 7"/>
    <w:basedOn w:val="Normal"/>
    <w:next w:val="Normal"/>
    <w:autoRedefine/>
    <w:uiPriority w:val="39"/>
    <w:unhideWhenUsed/>
    <w:rsid w:val="00B473C4"/>
    <w:pPr>
      <w:jc w:val="left"/>
    </w:pPr>
    <w:rPr>
      <w:rFonts w:asciiTheme="minorHAnsi" w:hAnsiTheme="minorHAnsi"/>
    </w:rPr>
  </w:style>
  <w:style w:type="paragraph" w:styleId="TM8">
    <w:name w:val="toc 8"/>
    <w:basedOn w:val="Normal"/>
    <w:next w:val="Normal"/>
    <w:autoRedefine/>
    <w:uiPriority w:val="39"/>
    <w:unhideWhenUsed/>
    <w:rsid w:val="00B473C4"/>
    <w:pPr>
      <w:jc w:val="left"/>
    </w:pPr>
    <w:rPr>
      <w:rFonts w:asciiTheme="minorHAnsi" w:hAnsiTheme="minorHAnsi"/>
    </w:rPr>
  </w:style>
  <w:style w:type="paragraph" w:styleId="TM9">
    <w:name w:val="toc 9"/>
    <w:basedOn w:val="Normal"/>
    <w:next w:val="Normal"/>
    <w:autoRedefine/>
    <w:uiPriority w:val="39"/>
    <w:unhideWhenUsed/>
    <w:rsid w:val="00B473C4"/>
    <w:pPr>
      <w:jc w:val="left"/>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631832">
      <w:bodyDiv w:val="1"/>
      <w:marLeft w:val="0"/>
      <w:marRight w:val="0"/>
      <w:marTop w:val="0"/>
      <w:marBottom w:val="0"/>
      <w:divBdr>
        <w:top w:val="none" w:sz="0" w:space="0" w:color="auto"/>
        <w:left w:val="none" w:sz="0" w:space="0" w:color="auto"/>
        <w:bottom w:val="none" w:sz="0" w:space="0" w:color="auto"/>
        <w:right w:val="none" w:sz="0" w:space="0" w:color="auto"/>
      </w:divBdr>
    </w:div>
    <w:div w:id="1125739043">
      <w:bodyDiv w:val="1"/>
      <w:marLeft w:val="0"/>
      <w:marRight w:val="0"/>
      <w:marTop w:val="0"/>
      <w:marBottom w:val="0"/>
      <w:divBdr>
        <w:top w:val="none" w:sz="0" w:space="0" w:color="auto"/>
        <w:left w:val="none" w:sz="0" w:space="0" w:color="auto"/>
        <w:bottom w:val="none" w:sz="0" w:space="0" w:color="auto"/>
        <w:right w:val="none" w:sz="0" w:space="0" w:color="auto"/>
      </w:divBdr>
    </w:div>
    <w:div w:id="1550416752">
      <w:bodyDiv w:val="1"/>
      <w:marLeft w:val="0"/>
      <w:marRight w:val="0"/>
      <w:marTop w:val="0"/>
      <w:marBottom w:val="0"/>
      <w:divBdr>
        <w:top w:val="none" w:sz="0" w:space="0" w:color="auto"/>
        <w:left w:val="none" w:sz="0" w:space="0" w:color="auto"/>
        <w:bottom w:val="none" w:sz="0" w:space="0" w:color="auto"/>
        <w:right w:val="none" w:sz="0" w:space="0" w:color="auto"/>
      </w:divBdr>
    </w:div>
    <w:div w:id="1933664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fId" Type="http://schemas.openxmlformats.org/wordprocessingml/2006/fontTable" Target="fontTable0.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D9EAD-E898-4E2F-96EB-BC2AC10D0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3245</Words>
  <Characters>27591</Characters>
  <Application>Microsoft Office Word</Application>
  <DocSecurity>0</DocSecurity>
  <Lines>919</Lines>
  <Paragraphs>422</Paragraphs>
  <ScaleCrop>false</ScaleCrop>
  <HeadingPairs>
    <vt:vector size="2" baseType="variant">
      <vt:variant>
        <vt:lpstr>Titre</vt:lpstr>
      </vt:variant>
      <vt:variant>
        <vt:i4>1</vt:i4>
      </vt:variant>
    </vt:vector>
  </HeadingPairs>
  <TitlesOfParts>
    <vt:vector size="1" baseType="lpstr">
      <vt:lpstr>Microsoft Word - AOO_22088_CCAP_Eqts de blanchisserie_V1.docx</vt:lpstr>
    </vt:vector>
  </TitlesOfParts>
  <Company/>
  <LinksUpToDate>false</LinksUpToDate>
  <CharactersWithSpaces>30414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AOO_22088_CCAP_Eqts de blanchisserie_V1.docx</dc:title>
  <dc:creator>EGIS</dc:creator>
  <cp:lastModifiedBy>Poudenx Rodolphe</cp:lastModifiedBy>
  <cp:revision>22</cp:revision>
  <dcterms:created xsi:type="dcterms:W3CDTF">2025-06-25T06:57:00Z</dcterms:created>
  <dcterms:modified xsi:type="dcterms:W3CDTF">2025-06-30T15:23:00Z</dcterms:modified>
</cp:coreProperties>
</file>